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6"/>
          <w:szCs w:val="36"/>
        </w:rPr>
      </w:pPr>
    </w:p>
    <w:p>
      <w:pPr>
        <w:pStyle w:val="5"/>
        <w:ind w:left="0"/>
      </w:pPr>
    </w:p>
    <w:p>
      <w:pPr>
        <w:rPr>
          <w:rFonts w:eastAsia="仿宋_GB2312"/>
          <w:sz w:val="36"/>
          <w:szCs w:val="36"/>
        </w:rPr>
      </w:pPr>
    </w:p>
    <w:p>
      <w:pPr>
        <w:rPr>
          <w:rFonts w:eastAsia="仿宋_GB2312"/>
          <w:sz w:val="36"/>
          <w:szCs w:val="36"/>
        </w:rPr>
      </w:pPr>
    </w:p>
    <w:p>
      <w:pPr>
        <w:rPr>
          <w:rFonts w:eastAsia="仿宋_GB2312"/>
          <w:sz w:val="36"/>
          <w:szCs w:val="36"/>
        </w:rPr>
      </w:pPr>
    </w:p>
    <w:p>
      <w:pPr>
        <w:rPr>
          <w:rFonts w:eastAsia="仿宋_GB2312"/>
          <w:sz w:val="36"/>
          <w:szCs w:val="36"/>
        </w:rPr>
      </w:pPr>
    </w:p>
    <w:p>
      <w:pPr>
        <w:widowControl/>
        <w:jc w:val="center"/>
        <w:rPr>
          <w:b/>
          <w:bCs/>
          <w:kern w:val="0"/>
          <w:sz w:val="48"/>
          <w:szCs w:val="22"/>
        </w:rPr>
      </w:pPr>
      <w:r>
        <w:rPr>
          <w:b/>
          <w:bCs/>
          <w:kern w:val="0"/>
          <w:sz w:val="48"/>
          <w:szCs w:val="22"/>
        </w:rPr>
        <w:t>建设项目环境影响报告表</w:t>
      </w:r>
    </w:p>
    <w:p>
      <w:pPr>
        <w:adjustRightInd w:val="0"/>
        <w:snapToGrid w:val="0"/>
        <w:spacing w:line="288" w:lineRule="auto"/>
        <w:jc w:val="center"/>
        <w:outlineLvl w:val="0"/>
        <w:rPr>
          <w:b/>
          <w:bCs/>
          <w:kern w:val="44"/>
          <w:sz w:val="36"/>
          <w:szCs w:val="36"/>
        </w:rPr>
      </w:pPr>
      <w:r>
        <w:rPr>
          <w:b/>
          <w:bCs/>
          <w:kern w:val="44"/>
          <w:sz w:val="36"/>
          <w:szCs w:val="36"/>
        </w:rPr>
        <w:t>（污染影响类）</w:t>
      </w:r>
    </w:p>
    <w:p>
      <w:pPr>
        <w:adjustRightInd w:val="0"/>
        <w:snapToGrid w:val="0"/>
        <w:spacing w:line="288" w:lineRule="auto"/>
        <w:jc w:val="center"/>
        <w:outlineLvl w:val="0"/>
        <w:rPr>
          <w:rFonts w:eastAsia="华文仿宋"/>
          <w:b/>
          <w:bCs/>
          <w:kern w:val="44"/>
          <w:sz w:val="44"/>
          <w:szCs w:val="44"/>
        </w:rPr>
      </w:pPr>
    </w:p>
    <w:p>
      <w:pPr>
        <w:jc w:val="center"/>
        <w:rPr>
          <w:rFonts w:eastAsia="仿宋"/>
          <w:b/>
          <w:bCs/>
          <w:sz w:val="52"/>
          <w:szCs w:val="52"/>
        </w:rPr>
      </w:pPr>
    </w:p>
    <w:p>
      <w:pPr>
        <w:ind w:firstLine="1040"/>
        <w:rPr>
          <w:rFonts w:eastAsia="仿宋"/>
          <w:b/>
          <w:bCs/>
          <w:sz w:val="44"/>
          <w:szCs w:val="44"/>
        </w:rPr>
      </w:pPr>
    </w:p>
    <w:p>
      <w:pPr>
        <w:ind w:firstLine="1040"/>
        <w:rPr>
          <w:rFonts w:eastAsia="仿宋"/>
          <w:b/>
          <w:bCs/>
          <w:sz w:val="44"/>
          <w:szCs w:val="44"/>
        </w:rPr>
      </w:pPr>
    </w:p>
    <w:p>
      <w:pPr>
        <w:ind w:firstLine="1040"/>
        <w:rPr>
          <w:rFonts w:eastAsia="仿宋"/>
          <w:b/>
          <w:bCs/>
          <w:sz w:val="44"/>
          <w:szCs w:val="44"/>
        </w:rPr>
      </w:pPr>
    </w:p>
    <w:p>
      <w:pPr>
        <w:widowControl/>
        <w:snapToGrid w:val="0"/>
        <w:spacing w:line="360" w:lineRule="auto"/>
        <w:ind w:left="945" w:leftChars="450"/>
        <w:jc w:val="left"/>
        <w:rPr>
          <w:b/>
          <w:bCs/>
          <w:kern w:val="0"/>
          <w:sz w:val="30"/>
          <w:szCs w:val="22"/>
        </w:rPr>
      </w:pPr>
      <w:r>
        <w:rPr>
          <w:b/>
          <w:bCs/>
          <w:kern w:val="0"/>
          <w:sz w:val="30"/>
          <w:szCs w:val="22"/>
        </w:rPr>
        <w:t>项目名称：</w:t>
      </w:r>
      <w:r>
        <w:rPr>
          <w:rFonts w:hint="eastAsia"/>
          <w:b/>
          <w:bCs/>
          <w:kern w:val="0"/>
          <w:sz w:val="30"/>
          <w:szCs w:val="22"/>
          <w:u w:val="single"/>
        </w:rPr>
        <w:t xml:space="preserve">        迁建塑料制品项目            </w:t>
      </w:r>
    </w:p>
    <w:p>
      <w:pPr>
        <w:widowControl/>
        <w:snapToGrid w:val="0"/>
        <w:spacing w:line="360" w:lineRule="auto"/>
        <w:ind w:left="945" w:leftChars="450"/>
        <w:jc w:val="left"/>
        <w:rPr>
          <w:b/>
          <w:kern w:val="0"/>
          <w:sz w:val="30"/>
          <w:szCs w:val="22"/>
          <w:u w:val="single"/>
        </w:rPr>
      </w:pPr>
      <w:r>
        <w:rPr>
          <w:b/>
          <w:bCs/>
          <w:kern w:val="0"/>
          <w:sz w:val="30"/>
          <w:szCs w:val="22"/>
        </w:rPr>
        <w:t>建设单位（盖章）：</w:t>
      </w:r>
      <w:r>
        <w:rPr>
          <w:rFonts w:hint="eastAsia"/>
          <w:b/>
          <w:bCs/>
          <w:kern w:val="0"/>
          <w:sz w:val="30"/>
          <w:szCs w:val="22"/>
          <w:u w:val="single"/>
        </w:rPr>
        <w:t>常州富美塑料有限公司</w:t>
      </w:r>
      <w:r>
        <w:rPr>
          <w:rFonts w:hint="eastAsia"/>
          <w:b/>
          <w:kern w:val="0"/>
          <w:sz w:val="30"/>
          <w:szCs w:val="22"/>
          <w:u w:val="single"/>
        </w:rPr>
        <w:t xml:space="preserve">        </w:t>
      </w:r>
    </w:p>
    <w:p>
      <w:pPr>
        <w:widowControl/>
        <w:snapToGrid w:val="0"/>
        <w:spacing w:line="360" w:lineRule="auto"/>
        <w:ind w:left="945" w:leftChars="450"/>
        <w:jc w:val="left"/>
        <w:rPr>
          <w:b/>
          <w:bCs/>
          <w:kern w:val="0"/>
          <w:sz w:val="30"/>
          <w:szCs w:val="22"/>
        </w:rPr>
      </w:pPr>
      <w:r>
        <w:rPr>
          <w:b/>
          <w:bCs/>
          <w:kern w:val="0"/>
          <w:sz w:val="30"/>
          <w:szCs w:val="22"/>
        </w:rPr>
        <w:t>编制日期：</w:t>
      </w:r>
      <w:r>
        <w:rPr>
          <w:b/>
          <w:kern w:val="0"/>
          <w:sz w:val="30"/>
          <w:szCs w:val="22"/>
          <w:u w:val="single"/>
        </w:rPr>
        <w:t xml:space="preserve">        202</w:t>
      </w:r>
      <w:r>
        <w:rPr>
          <w:rFonts w:hint="eastAsia"/>
          <w:b/>
          <w:kern w:val="0"/>
          <w:sz w:val="30"/>
          <w:szCs w:val="22"/>
          <w:u w:val="single"/>
        </w:rPr>
        <w:t>2</w:t>
      </w:r>
      <w:r>
        <w:rPr>
          <w:b/>
          <w:kern w:val="0"/>
          <w:sz w:val="30"/>
          <w:szCs w:val="22"/>
          <w:u w:val="single"/>
        </w:rPr>
        <w:t>年</w:t>
      </w:r>
      <w:r>
        <w:rPr>
          <w:rFonts w:hint="eastAsia"/>
          <w:b/>
          <w:kern w:val="0"/>
          <w:sz w:val="30"/>
          <w:szCs w:val="22"/>
          <w:u w:val="single"/>
        </w:rPr>
        <w:t>10</w:t>
      </w:r>
      <w:r>
        <w:rPr>
          <w:b/>
          <w:kern w:val="0"/>
          <w:sz w:val="30"/>
          <w:szCs w:val="22"/>
          <w:u w:val="single"/>
        </w:rPr>
        <w:t xml:space="preserve">月       </w:t>
      </w:r>
      <w:r>
        <w:rPr>
          <w:rFonts w:hint="eastAsia"/>
          <w:b/>
          <w:kern w:val="0"/>
          <w:sz w:val="30"/>
          <w:szCs w:val="22"/>
          <w:u w:val="single"/>
        </w:rPr>
        <w:t xml:space="preserve">    </w:t>
      </w:r>
      <w:r>
        <w:rPr>
          <w:b/>
          <w:kern w:val="0"/>
          <w:sz w:val="30"/>
          <w:szCs w:val="22"/>
          <w:u w:val="single"/>
        </w:rPr>
        <w:t xml:space="preserve">      </w:t>
      </w:r>
      <w:r>
        <w:rPr>
          <w:rFonts w:hint="eastAsia"/>
          <w:b/>
          <w:kern w:val="0"/>
          <w:sz w:val="30"/>
          <w:szCs w:val="22"/>
          <w:u w:val="single"/>
        </w:rPr>
        <w:t xml:space="preserve"> </w:t>
      </w:r>
      <w:r>
        <w:rPr>
          <w:b/>
          <w:bCs/>
          <w:kern w:val="0"/>
          <w:sz w:val="30"/>
          <w:szCs w:val="22"/>
        </w:rPr>
        <w:t xml:space="preserve">                      </w:t>
      </w:r>
    </w:p>
    <w:p>
      <w:pPr>
        <w:adjustRightInd w:val="0"/>
        <w:snapToGrid w:val="0"/>
        <w:spacing w:line="288" w:lineRule="auto"/>
        <w:ind w:firstLine="1040"/>
        <w:rPr>
          <w:rFonts w:eastAsia="仿宋_GB2312"/>
          <w:b/>
          <w:bCs/>
          <w:sz w:val="36"/>
          <w:szCs w:val="36"/>
          <w:u w:val="single"/>
        </w:rPr>
      </w:pPr>
      <w:bookmarkStart w:id="0" w:name="_Hlk57884087"/>
    </w:p>
    <w:p>
      <w:pPr>
        <w:adjustRightInd w:val="0"/>
        <w:snapToGrid w:val="0"/>
        <w:spacing w:line="288" w:lineRule="auto"/>
        <w:ind w:firstLine="1040"/>
        <w:rPr>
          <w:rFonts w:eastAsia="仿宋_GB2312"/>
          <w:b/>
          <w:bCs/>
          <w:sz w:val="36"/>
          <w:szCs w:val="36"/>
        </w:rPr>
      </w:pPr>
    </w:p>
    <w:p>
      <w:pPr>
        <w:adjustRightInd w:val="0"/>
        <w:snapToGrid w:val="0"/>
        <w:spacing w:line="288" w:lineRule="auto"/>
        <w:ind w:firstLine="1040"/>
        <w:rPr>
          <w:rFonts w:eastAsia="仿宋_GB2312"/>
          <w:b/>
          <w:bCs/>
          <w:sz w:val="36"/>
          <w:szCs w:val="36"/>
        </w:rPr>
      </w:pPr>
    </w:p>
    <w:p>
      <w:pPr>
        <w:adjustRightInd w:val="0"/>
        <w:snapToGrid w:val="0"/>
        <w:spacing w:line="288" w:lineRule="auto"/>
        <w:ind w:firstLine="1040"/>
        <w:rPr>
          <w:rFonts w:eastAsia="仿宋_GB2312"/>
          <w:b/>
          <w:bCs/>
          <w:sz w:val="36"/>
          <w:szCs w:val="36"/>
        </w:rPr>
      </w:pPr>
    </w:p>
    <w:bookmarkEnd w:id="0"/>
    <w:p>
      <w:pPr>
        <w:adjustRightInd w:val="0"/>
        <w:snapToGrid w:val="0"/>
        <w:spacing w:line="288" w:lineRule="auto"/>
        <w:jc w:val="center"/>
        <w:rPr>
          <w:rFonts w:eastAsia="楷体_GB2312"/>
          <w:b/>
          <w:bCs/>
          <w:sz w:val="36"/>
          <w:szCs w:val="36"/>
        </w:rPr>
      </w:pPr>
      <w:r>
        <w:rPr>
          <w:rFonts w:eastAsia="楷体_GB2312"/>
          <w:b/>
          <w:bCs/>
          <w:sz w:val="36"/>
          <w:szCs w:val="36"/>
        </w:rPr>
        <w:t>中华人民共和国生态环境部制</w:t>
      </w:r>
    </w:p>
    <w:p>
      <w:pPr>
        <w:pStyle w:val="2"/>
      </w:pPr>
    </w:p>
    <w:p>
      <w:pPr>
        <w:pStyle w:val="3"/>
        <w:numPr>
          <w:ilvl w:val="0"/>
          <w:numId w:val="0"/>
        </w:numPr>
      </w:pPr>
    </w:p>
    <w:p>
      <w:pPr>
        <w:pStyle w:val="3"/>
        <w:numPr>
          <w:ilvl w:val="0"/>
          <w:numId w:val="0"/>
        </w:numPr>
      </w:pPr>
    </w:p>
    <w:p>
      <w:pPr>
        <w:pStyle w:val="3"/>
        <w:numPr>
          <w:ilvl w:val="0"/>
          <w:numId w:val="0"/>
        </w:numPr>
        <w:sectPr>
          <w:footerReference r:id="rId3" w:type="default"/>
          <w:pgSz w:w="11905" w:h="16838"/>
          <w:pgMar w:top="1701" w:right="1531" w:bottom="2126" w:left="1531" w:header="851" w:footer="850" w:gutter="0"/>
          <w:pgBorders>
            <w:top w:val="none" w:sz="0" w:space="0"/>
            <w:left w:val="none" w:sz="0" w:space="0"/>
            <w:bottom w:val="none" w:sz="0" w:space="0"/>
            <w:right w:val="none" w:sz="0" w:space="0"/>
          </w:pgBorders>
          <w:pgNumType w:start="3"/>
          <w:cols w:space="720" w:num="1"/>
          <w:docGrid w:type="linesAndChars" w:linePitch="312" w:charSpace="0"/>
        </w:sectPr>
      </w:pPr>
    </w:p>
    <w:p>
      <w:pPr>
        <w:pStyle w:val="7"/>
        <w:spacing w:before="0" w:beforeAutospacing="0" w:after="0" w:afterAutospacing="0"/>
        <w:jc w:val="center"/>
        <w:outlineLvl w:val="0"/>
        <w:rPr>
          <w:rFonts w:ascii="Times New Roman" w:hAnsi="Times New Roman"/>
          <w:b/>
          <w:bCs/>
          <w:snapToGrid w:val="0"/>
          <w:sz w:val="30"/>
          <w:szCs w:val="30"/>
        </w:rPr>
      </w:pPr>
      <w:r>
        <w:rPr>
          <w:rFonts w:ascii="Times New Roman" w:hAnsi="Times New Roman"/>
          <w:b/>
          <w:bCs/>
          <w:snapToGrid w:val="0"/>
          <w:sz w:val="30"/>
          <w:szCs w:val="30"/>
        </w:rPr>
        <w:t>一、建设项目基本情况</w:t>
      </w:r>
    </w:p>
    <w:tbl>
      <w:tblPr>
        <w:tblStyle w:val="9"/>
        <w:tblW w:w="95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82"/>
        <w:gridCol w:w="1427"/>
        <w:gridCol w:w="2984"/>
        <w:gridCol w:w="1317"/>
        <w:gridCol w:w="30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66" w:type="dxa"/>
            <w:gridSpan w:val="3"/>
            <w:tcBorders>
              <w:tl2br w:val="nil"/>
              <w:tr2bl w:val="nil"/>
            </w:tcBorders>
            <w:vAlign w:val="center"/>
          </w:tcPr>
          <w:p>
            <w:pPr>
              <w:adjustRightInd w:val="0"/>
              <w:snapToGrid w:val="0"/>
              <w:spacing w:line="288" w:lineRule="auto"/>
              <w:jc w:val="center"/>
            </w:pPr>
            <w:r>
              <w:rPr>
                <w:b/>
                <w:bCs/>
                <w:sz w:val="24"/>
              </w:rPr>
              <w:t>建设项目名称</w:t>
            </w:r>
          </w:p>
        </w:tc>
        <w:tc>
          <w:tcPr>
            <w:tcW w:w="7363" w:type="dxa"/>
            <w:gridSpan w:val="3"/>
            <w:tcBorders>
              <w:tl2br w:val="nil"/>
              <w:tr2bl w:val="nil"/>
            </w:tcBorders>
            <w:vAlign w:val="bottom"/>
          </w:tcPr>
          <w:p>
            <w:pPr>
              <w:adjustRightInd w:val="0"/>
              <w:snapToGrid w:val="0"/>
              <w:spacing w:line="288" w:lineRule="auto"/>
              <w:jc w:val="center"/>
            </w:pPr>
            <w:r>
              <w:rPr>
                <w:rFonts w:hint="eastAsia"/>
                <w:sz w:val="24"/>
              </w:rPr>
              <w:t>迁建塑料制品项目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66" w:type="dxa"/>
            <w:gridSpan w:val="3"/>
            <w:tcBorders>
              <w:tl2br w:val="nil"/>
              <w:tr2bl w:val="nil"/>
            </w:tcBorders>
            <w:vAlign w:val="bottom"/>
          </w:tcPr>
          <w:p>
            <w:pPr>
              <w:adjustRightInd w:val="0"/>
              <w:snapToGrid w:val="0"/>
              <w:spacing w:line="288" w:lineRule="auto"/>
              <w:jc w:val="center"/>
            </w:pPr>
            <w:r>
              <w:rPr>
                <w:b/>
                <w:bCs/>
                <w:sz w:val="24"/>
              </w:rPr>
              <w:t>项目代码</w:t>
            </w:r>
          </w:p>
        </w:tc>
        <w:tc>
          <w:tcPr>
            <w:tcW w:w="7363" w:type="dxa"/>
            <w:gridSpan w:val="3"/>
            <w:tcBorders>
              <w:tl2br w:val="nil"/>
              <w:tr2bl w:val="nil"/>
            </w:tcBorders>
            <w:vAlign w:val="bottom"/>
          </w:tcPr>
          <w:p>
            <w:pPr>
              <w:adjustRightInd w:val="0"/>
              <w:snapToGrid w:val="0"/>
              <w:spacing w:line="288" w:lineRule="auto"/>
              <w:jc w:val="center"/>
            </w:pPr>
            <w:r>
              <w:rPr>
                <w:rFonts w:hint="eastAsia"/>
                <w:sz w:val="24"/>
              </w:rPr>
              <w:t>2207-320458-89-03-681441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66" w:type="dxa"/>
            <w:gridSpan w:val="3"/>
            <w:tcBorders>
              <w:tl2br w:val="nil"/>
              <w:tr2bl w:val="nil"/>
            </w:tcBorders>
            <w:vAlign w:val="center"/>
          </w:tcPr>
          <w:p>
            <w:pPr>
              <w:adjustRightInd w:val="0"/>
              <w:snapToGrid w:val="0"/>
              <w:jc w:val="center"/>
            </w:pPr>
            <w:r>
              <w:rPr>
                <w:b/>
                <w:bCs/>
                <w:sz w:val="24"/>
              </w:rPr>
              <w:t>建设单位联系人</w:t>
            </w:r>
          </w:p>
        </w:tc>
        <w:tc>
          <w:tcPr>
            <w:tcW w:w="2984" w:type="dxa"/>
            <w:tcBorders>
              <w:tl2br w:val="nil"/>
              <w:tr2bl w:val="nil"/>
            </w:tcBorders>
            <w:vAlign w:val="center"/>
          </w:tcPr>
          <w:p>
            <w:pPr>
              <w:adjustRightInd w:val="0"/>
              <w:snapToGrid w:val="0"/>
              <w:jc w:val="center"/>
              <w:rPr>
                <w:rFonts w:hint="eastAsia" w:eastAsia="宋体"/>
                <w:sz w:val="24"/>
                <w:szCs w:val="24"/>
                <w:lang w:eastAsia="zh-CN"/>
              </w:rPr>
            </w:pPr>
            <w:r>
              <w:rPr>
                <w:rFonts w:hint="eastAsia"/>
                <w:sz w:val="24"/>
                <w:szCs w:val="24"/>
                <w:lang w:eastAsia="zh-CN"/>
              </w:rPr>
              <w:t>洪利恩</w:t>
            </w:r>
          </w:p>
        </w:tc>
        <w:tc>
          <w:tcPr>
            <w:tcW w:w="1317" w:type="dxa"/>
            <w:tcBorders>
              <w:tl2br w:val="nil"/>
              <w:tr2bl w:val="nil"/>
            </w:tcBorders>
            <w:vAlign w:val="center"/>
          </w:tcPr>
          <w:p>
            <w:pPr>
              <w:adjustRightInd w:val="0"/>
              <w:snapToGrid w:val="0"/>
              <w:jc w:val="center"/>
              <w:rPr>
                <w:sz w:val="24"/>
                <w:szCs w:val="24"/>
              </w:rPr>
            </w:pPr>
            <w:r>
              <w:rPr>
                <w:b/>
                <w:bCs/>
                <w:sz w:val="24"/>
                <w:szCs w:val="24"/>
              </w:rPr>
              <w:t>联系方式</w:t>
            </w:r>
          </w:p>
        </w:tc>
        <w:tc>
          <w:tcPr>
            <w:tcW w:w="3062" w:type="dxa"/>
            <w:tcBorders>
              <w:tl2br w:val="nil"/>
              <w:tr2bl w:val="nil"/>
            </w:tcBorders>
            <w:vAlign w:val="center"/>
          </w:tcPr>
          <w:p>
            <w:pPr>
              <w:adjustRightInd w:val="0"/>
              <w:snapToGrid w:val="0"/>
              <w:jc w:val="center"/>
              <w:rPr>
                <w:rFonts w:hint="default" w:eastAsia="宋体"/>
                <w:sz w:val="24"/>
                <w:szCs w:val="24"/>
                <w:lang w:val="en-US" w:eastAsia="zh-CN"/>
              </w:rPr>
            </w:pPr>
            <w:r>
              <w:rPr>
                <w:rFonts w:hint="eastAsia"/>
                <w:sz w:val="24"/>
                <w:szCs w:val="24"/>
                <w:lang w:val="en-US" w:eastAsia="zh-CN"/>
              </w:rPr>
              <w:t>13306142905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66" w:type="dxa"/>
            <w:gridSpan w:val="3"/>
            <w:tcBorders>
              <w:tl2br w:val="nil"/>
              <w:tr2bl w:val="nil"/>
            </w:tcBorders>
            <w:vAlign w:val="center"/>
          </w:tcPr>
          <w:p>
            <w:pPr>
              <w:adjustRightInd w:val="0"/>
              <w:snapToGrid w:val="0"/>
              <w:jc w:val="center"/>
            </w:pPr>
            <w:r>
              <w:rPr>
                <w:b/>
                <w:bCs/>
                <w:sz w:val="24"/>
              </w:rPr>
              <w:t>建设地点</w:t>
            </w:r>
          </w:p>
        </w:tc>
        <w:tc>
          <w:tcPr>
            <w:tcW w:w="7363" w:type="dxa"/>
            <w:gridSpan w:val="3"/>
            <w:tcBorders>
              <w:tl2br w:val="nil"/>
              <w:tr2bl w:val="nil"/>
            </w:tcBorders>
            <w:vAlign w:val="center"/>
          </w:tcPr>
          <w:p>
            <w:pPr>
              <w:adjustRightInd w:val="0"/>
              <w:snapToGrid w:val="0"/>
              <w:spacing w:line="288" w:lineRule="auto"/>
              <w:jc w:val="center"/>
              <w:rPr>
                <w:sz w:val="24"/>
              </w:rPr>
            </w:pPr>
            <w:r>
              <w:rPr>
                <w:rFonts w:hint="eastAsia"/>
                <w:sz w:val="24"/>
              </w:rPr>
              <w:t>江苏省-常州市-金坛经济开发区汇福路5号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66" w:type="dxa"/>
            <w:gridSpan w:val="3"/>
            <w:tcBorders>
              <w:tl2br w:val="nil"/>
              <w:tr2bl w:val="nil"/>
            </w:tcBorders>
            <w:vAlign w:val="center"/>
          </w:tcPr>
          <w:p>
            <w:pPr>
              <w:adjustRightInd w:val="0"/>
              <w:snapToGrid w:val="0"/>
              <w:jc w:val="center"/>
            </w:pPr>
            <w:r>
              <w:rPr>
                <w:b/>
                <w:bCs/>
                <w:sz w:val="24"/>
              </w:rPr>
              <w:t>地理坐标</w:t>
            </w:r>
          </w:p>
        </w:tc>
        <w:tc>
          <w:tcPr>
            <w:tcW w:w="7363" w:type="dxa"/>
            <w:gridSpan w:val="3"/>
            <w:tcBorders>
              <w:tl2br w:val="nil"/>
              <w:tr2bl w:val="nil"/>
            </w:tcBorders>
            <w:vAlign w:val="center"/>
          </w:tcPr>
          <w:p>
            <w:pPr>
              <w:adjustRightInd w:val="0"/>
              <w:snapToGrid w:val="0"/>
              <w:spacing w:line="288" w:lineRule="auto"/>
              <w:jc w:val="center"/>
              <w:rPr>
                <w:sz w:val="24"/>
              </w:rPr>
            </w:pPr>
            <w:r>
              <w:rPr>
                <w:rFonts w:hint="eastAsia"/>
                <w:color w:val="0000FF"/>
                <w:sz w:val="24"/>
              </w:rPr>
              <w:t>经度：119°39′1.61</w:t>
            </w:r>
            <w:r>
              <w:rPr>
                <w:rFonts w:hint="eastAsia"/>
                <w:color w:val="0000FF"/>
                <w:sz w:val="24"/>
                <w:lang w:val="en-US" w:eastAsia="zh-CN"/>
              </w:rPr>
              <w:t>2</w:t>
            </w:r>
            <w:r>
              <w:rPr>
                <w:rFonts w:hint="eastAsia"/>
                <w:color w:val="0000FF"/>
                <w:sz w:val="24"/>
              </w:rPr>
              <w:t>″   纬度：31°45′46.36</w:t>
            </w:r>
            <w:r>
              <w:rPr>
                <w:rFonts w:hint="eastAsia"/>
                <w:color w:val="0000FF"/>
                <w:sz w:val="24"/>
                <w:lang w:val="en-US" w:eastAsia="zh-CN"/>
              </w:rPr>
              <w:t>7</w:t>
            </w:r>
            <w:r>
              <w:rPr>
                <w:rFonts w:hint="eastAsia"/>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66" w:type="dxa"/>
            <w:gridSpan w:val="3"/>
            <w:tcBorders>
              <w:tl2br w:val="nil"/>
              <w:tr2bl w:val="nil"/>
            </w:tcBorders>
            <w:vAlign w:val="center"/>
          </w:tcPr>
          <w:p>
            <w:pPr>
              <w:adjustRightInd w:val="0"/>
              <w:snapToGrid w:val="0"/>
              <w:jc w:val="center"/>
              <w:rPr>
                <w:b/>
                <w:bCs/>
                <w:sz w:val="24"/>
              </w:rPr>
            </w:pPr>
            <w:r>
              <w:rPr>
                <w:b/>
                <w:bCs/>
                <w:sz w:val="24"/>
              </w:rPr>
              <w:t>国民经济</w:t>
            </w:r>
          </w:p>
          <w:p>
            <w:pPr>
              <w:adjustRightInd w:val="0"/>
              <w:snapToGrid w:val="0"/>
              <w:jc w:val="center"/>
            </w:pPr>
            <w:r>
              <w:rPr>
                <w:b/>
                <w:bCs/>
                <w:sz w:val="24"/>
              </w:rPr>
              <w:t>行业类别</w:t>
            </w:r>
          </w:p>
        </w:tc>
        <w:tc>
          <w:tcPr>
            <w:tcW w:w="2984" w:type="dxa"/>
            <w:tcBorders>
              <w:tl2br w:val="nil"/>
              <w:tr2bl w:val="nil"/>
            </w:tcBorders>
            <w:vAlign w:val="center"/>
          </w:tcPr>
          <w:p>
            <w:pPr>
              <w:adjustRightInd w:val="0"/>
              <w:snapToGrid w:val="0"/>
              <w:jc w:val="center"/>
              <w:rPr>
                <w:sz w:val="24"/>
              </w:rPr>
            </w:pPr>
            <w:r>
              <w:rPr>
                <w:rFonts w:hint="eastAsia"/>
                <w:sz w:val="24"/>
              </w:rPr>
              <w:t>[C2929]</w:t>
            </w:r>
          </w:p>
          <w:p>
            <w:pPr>
              <w:adjustRightInd w:val="0"/>
              <w:snapToGrid w:val="0"/>
              <w:jc w:val="center"/>
            </w:pPr>
            <w:r>
              <w:rPr>
                <w:rFonts w:hint="eastAsia"/>
                <w:sz w:val="24"/>
              </w:rPr>
              <w:t>塑料零件及其他塑料制品制造</w:t>
            </w:r>
          </w:p>
        </w:tc>
        <w:tc>
          <w:tcPr>
            <w:tcW w:w="1317" w:type="dxa"/>
            <w:tcBorders>
              <w:tl2br w:val="nil"/>
              <w:tr2bl w:val="nil"/>
            </w:tcBorders>
            <w:vAlign w:val="center"/>
          </w:tcPr>
          <w:p>
            <w:pPr>
              <w:adjustRightInd w:val="0"/>
              <w:snapToGrid w:val="0"/>
              <w:jc w:val="center"/>
              <w:rPr>
                <w:b/>
                <w:bCs/>
                <w:sz w:val="24"/>
              </w:rPr>
            </w:pPr>
            <w:r>
              <w:rPr>
                <w:b/>
                <w:bCs/>
                <w:sz w:val="24"/>
              </w:rPr>
              <w:t>建设项目</w:t>
            </w:r>
          </w:p>
          <w:p>
            <w:pPr>
              <w:adjustRightInd w:val="0"/>
              <w:snapToGrid w:val="0"/>
              <w:jc w:val="center"/>
            </w:pPr>
            <w:r>
              <w:rPr>
                <w:b/>
                <w:bCs/>
                <w:sz w:val="24"/>
              </w:rPr>
              <w:t>行业类别</w:t>
            </w:r>
          </w:p>
        </w:tc>
        <w:tc>
          <w:tcPr>
            <w:tcW w:w="3062" w:type="dxa"/>
            <w:tcBorders>
              <w:tl2br w:val="nil"/>
              <w:tr2bl w:val="nil"/>
            </w:tcBorders>
            <w:vAlign w:val="center"/>
          </w:tcPr>
          <w:p>
            <w:pPr>
              <w:adjustRightInd w:val="0"/>
              <w:snapToGrid w:val="0"/>
              <w:jc w:val="center"/>
              <w:rPr>
                <w:sz w:val="24"/>
              </w:rPr>
            </w:pPr>
            <w:r>
              <w:rPr>
                <w:rFonts w:hint="eastAsia"/>
                <w:sz w:val="24"/>
              </w:rPr>
              <w:t>二十六、橡胶和塑料制品业29--53塑料制品业292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66" w:type="dxa"/>
            <w:gridSpan w:val="3"/>
            <w:tcBorders>
              <w:tl2br w:val="nil"/>
              <w:tr2bl w:val="nil"/>
            </w:tcBorders>
            <w:vAlign w:val="center"/>
          </w:tcPr>
          <w:p>
            <w:pPr>
              <w:adjustRightInd w:val="0"/>
              <w:snapToGrid w:val="0"/>
              <w:jc w:val="center"/>
            </w:pPr>
            <w:r>
              <w:rPr>
                <w:b/>
                <w:bCs/>
                <w:sz w:val="24"/>
              </w:rPr>
              <w:t>建设性质</w:t>
            </w:r>
          </w:p>
        </w:tc>
        <w:tc>
          <w:tcPr>
            <w:tcW w:w="2984" w:type="dxa"/>
            <w:tcBorders>
              <w:tl2br w:val="nil"/>
              <w:tr2bl w:val="nil"/>
            </w:tcBorders>
            <w:vAlign w:val="center"/>
          </w:tcPr>
          <w:p>
            <w:pPr>
              <w:jc w:val="left"/>
              <w:rPr>
                <w:sz w:val="24"/>
              </w:rPr>
            </w:pPr>
            <w:r>
              <w:rPr>
                <w:rFonts w:hint="eastAsia"/>
                <w:sz w:val="24"/>
              </w:rPr>
              <w:t>☑</w:t>
            </w:r>
            <w:r>
              <w:rPr>
                <w:sz w:val="24"/>
              </w:rPr>
              <w:t>新建</w:t>
            </w:r>
            <w:r>
              <w:rPr>
                <w:rFonts w:hint="eastAsia"/>
                <w:sz w:val="24"/>
              </w:rPr>
              <w:t>（迁建）</w:t>
            </w:r>
          </w:p>
          <w:p>
            <w:pPr>
              <w:jc w:val="left"/>
              <w:rPr>
                <w:sz w:val="24"/>
              </w:rPr>
            </w:pPr>
            <w:r>
              <w:rPr>
                <w:rFonts w:hint="eastAsia"/>
                <w:sz w:val="24"/>
              </w:rPr>
              <w:t>□</w:t>
            </w:r>
            <w:r>
              <w:rPr>
                <w:sz w:val="24"/>
              </w:rPr>
              <w:t>改建</w:t>
            </w:r>
          </w:p>
          <w:p>
            <w:pPr>
              <w:jc w:val="left"/>
              <w:rPr>
                <w:sz w:val="24"/>
              </w:rPr>
            </w:pPr>
            <w:r>
              <w:rPr>
                <w:rFonts w:hint="eastAsia"/>
                <w:sz w:val="24"/>
              </w:rPr>
              <w:t>□</w:t>
            </w:r>
            <w:r>
              <w:rPr>
                <w:sz w:val="24"/>
              </w:rPr>
              <w:t>扩建</w:t>
            </w:r>
          </w:p>
          <w:p>
            <w:pPr>
              <w:jc w:val="left"/>
            </w:pPr>
            <w:r>
              <w:rPr>
                <w:rFonts w:hint="eastAsia"/>
                <w:sz w:val="24"/>
              </w:rPr>
              <w:t>□</w:t>
            </w:r>
            <w:r>
              <w:rPr>
                <w:sz w:val="24"/>
              </w:rPr>
              <w:t>技术改造</w:t>
            </w:r>
          </w:p>
        </w:tc>
        <w:tc>
          <w:tcPr>
            <w:tcW w:w="1317" w:type="dxa"/>
            <w:tcBorders>
              <w:tl2br w:val="nil"/>
              <w:tr2bl w:val="nil"/>
            </w:tcBorders>
            <w:vAlign w:val="center"/>
          </w:tcPr>
          <w:p>
            <w:pPr>
              <w:adjustRightInd w:val="0"/>
              <w:snapToGrid w:val="0"/>
              <w:jc w:val="center"/>
              <w:rPr>
                <w:b/>
                <w:bCs/>
                <w:sz w:val="24"/>
              </w:rPr>
            </w:pPr>
            <w:r>
              <w:rPr>
                <w:b/>
                <w:bCs/>
                <w:sz w:val="24"/>
              </w:rPr>
              <w:t>建设项目</w:t>
            </w:r>
          </w:p>
          <w:p>
            <w:pPr>
              <w:adjustRightInd w:val="0"/>
              <w:snapToGrid w:val="0"/>
              <w:jc w:val="center"/>
            </w:pPr>
            <w:r>
              <w:rPr>
                <w:b/>
                <w:bCs/>
                <w:sz w:val="24"/>
              </w:rPr>
              <w:t>申报情形</w:t>
            </w:r>
          </w:p>
        </w:tc>
        <w:tc>
          <w:tcPr>
            <w:tcW w:w="3062" w:type="dxa"/>
            <w:tcBorders>
              <w:tl2br w:val="nil"/>
              <w:tr2bl w:val="nil"/>
            </w:tcBorders>
            <w:vAlign w:val="center"/>
          </w:tcPr>
          <w:p>
            <w:pPr>
              <w:jc w:val="left"/>
              <w:rPr>
                <w:sz w:val="24"/>
              </w:rPr>
            </w:pPr>
            <w:r>
              <w:rPr>
                <w:rFonts w:hint="eastAsia"/>
                <w:sz w:val="24"/>
              </w:rPr>
              <w:t xml:space="preserve">☑首次申报项目             </w:t>
            </w:r>
          </w:p>
          <w:p>
            <w:pPr>
              <w:jc w:val="left"/>
              <w:rPr>
                <w:sz w:val="24"/>
              </w:rPr>
            </w:pPr>
            <w:r>
              <w:rPr>
                <w:rFonts w:hint="eastAsia"/>
                <w:sz w:val="24"/>
              </w:rPr>
              <w:t>□不予批准后再次申报项目</w:t>
            </w:r>
          </w:p>
          <w:p>
            <w:pPr>
              <w:jc w:val="left"/>
              <w:rPr>
                <w:sz w:val="24"/>
              </w:rPr>
            </w:pPr>
            <w:r>
              <w:rPr>
                <w:rFonts w:hint="eastAsia"/>
                <w:sz w:val="24"/>
              </w:rPr>
              <w:t xml:space="preserve">□超五年重新审核项目 </w:t>
            </w:r>
          </w:p>
          <w:p>
            <w:pPr>
              <w:jc w:val="left"/>
              <w:rPr>
                <w:sz w:val="24"/>
              </w:rPr>
            </w:pPr>
            <w:r>
              <w:rPr>
                <w:rFonts w:hint="eastAsia"/>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66" w:type="dxa"/>
            <w:gridSpan w:val="3"/>
            <w:tcBorders>
              <w:tl2br w:val="nil"/>
              <w:tr2bl w:val="nil"/>
            </w:tcBorders>
            <w:vAlign w:val="center"/>
          </w:tcPr>
          <w:p>
            <w:pPr>
              <w:adjustRightInd w:val="0"/>
              <w:snapToGrid w:val="0"/>
              <w:jc w:val="center"/>
              <w:rPr>
                <w:b/>
                <w:bCs/>
                <w:sz w:val="24"/>
              </w:rPr>
            </w:pPr>
            <w:r>
              <w:rPr>
                <w:b/>
                <w:bCs/>
                <w:sz w:val="24"/>
              </w:rPr>
              <w:t>项目审批</w:t>
            </w:r>
          </w:p>
          <w:p>
            <w:pPr>
              <w:adjustRightInd w:val="0"/>
              <w:snapToGrid w:val="0"/>
              <w:jc w:val="center"/>
            </w:pPr>
            <w:r>
              <w:rPr>
                <w:b/>
                <w:bCs/>
                <w:sz w:val="24"/>
              </w:rPr>
              <w:t>备案部门</w:t>
            </w:r>
          </w:p>
        </w:tc>
        <w:tc>
          <w:tcPr>
            <w:tcW w:w="2984" w:type="dxa"/>
            <w:tcBorders>
              <w:tl2br w:val="nil"/>
              <w:tr2bl w:val="nil"/>
            </w:tcBorders>
            <w:vAlign w:val="center"/>
          </w:tcPr>
          <w:p>
            <w:pPr>
              <w:adjustRightInd w:val="0"/>
              <w:snapToGrid w:val="0"/>
              <w:jc w:val="center"/>
            </w:pPr>
            <w:r>
              <w:rPr>
                <w:rFonts w:hint="eastAsia"/>
                <w:sz w:val="24"/>
              </w:rPr>
              <w:t>江苏金坛经济开发区经济发展局</w:t>
            </w:r>
          </w:p>
        </w:tc>
        <w:tc>
          <w:tcPr>
            <w:tcW w:w="1317" w:type="dxa"/>
            <w:tcBorders>
              <w:tl2br w:val="nil"/>
              <w:tr2bl w:val="nil"/>
            </w:tcBorders>
            <w:vAlign w:val="center"/>
          </w:tcPr>
          <w:p>
            <w:pPr>
              <w:adjustRightInd w:val="0"/>
              <w:snapToGrid w:val="0"/>
              <w:jc w:val="center"/>
              <w:rPr>
                <w:b/>
                <w:bCs/>
                <w:sz w:val="24"/>
              </w:rPr>
            </w:pPr>
            <w:r>
              <w:rPr>
                <w:b/>
                <w:bCs/>
                <w:sz w:val="24"/>
              </w:rPr>
              <w:t>项目审批</w:t>
            </w:r>
          </w:p>
          <w:p>
            <w:pPr>
              <w:adjustRightInd w:val="0"/>
              <w:snapToGrid w:val="0"/>
              <w:jc w:val="center"/>
            </w:pPr>
            <w:r>
              <w:rPr>
                <w:b/>
                <w:bCs/>
                <w:sz w:val="24"/>
              </w:rPr>
              <w:t>备案文号</w:t>
            </w:r>
          </w:p>
        </w:tc>
        <w:tc>
          <w:tcPr>
            <w:tcW w:w="3062" w:type="dxa"/>
            <w:tcBorders>
              <w:tl2br w:val="nil"/>
              <w:tr2bl w:val="nil"/>
            </w:tcBorders>
            <w:vAlign w:val="center"/>
          </w:tcPr>
          <w:p>
            <w:pPr>
              <w:adjustRightInd w:val="0"/>
              <w:snapToGrid w:val="0"/>
              <w:jc w:val="center"/>
            </w:pPr>
            <w:r>
              <w:rPr>
                <w:rFonts w:hint="eastAsia"/>
                <w:sz w:val="24"/>
              </w:rPr>
              <w:t>坛开经发备字【2022】142号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66" w:type="dxa"/>
            <w:gridSpan w:val="3"/>
            <w:tcBorders>
              <w:tl2br w:val="nil"/>
              <w:tr2bl w:val="nil"/>
            </w:tcBorders>
            <w:vAlign w:val="center"/>
          </w:tcPr>
          <w:p>
            <w:pPr>
              <w:adjustRightInd w:val="0"/>
              <w:snapToGrid w:val="0"/>
              <w:jc w:val="center"/>
            </w:pPr>
            <w:r>
              <w:rPr>
                <w:b/>
                <w:bCs/>
                <w:sz w:val="24"/>
              </w:rPr>
              <w:t>总投资（万元）</w:t>
            </w:r>
          </w:p>
        </w:tc>
        <w:tc>
          <w:tcPr>
            <w:tcW w:w="2984" w:type="dxa"/>
            <w:tcBorders>
              <w:tl2br w:val="nil"/>
              <w:tr2bl w:val="nil"/>
            </w:tcBorders>
            <w:vAlign w:val="center"/>
          </w:tcPr>
          <w:p>
            <w:pPr>
              <w:adjustRightInd w:val="0"/>
              <w:snapToGrid w:val="0"/>
              <w:jc w:val="center"/>
            </w:pPr>
            <w:r>
              <w:rPr>
                <w:rFonts w:hint="eastAsia"/>
                <w:sz w:val="24"/>
              </w:rPr>
              <w:t>337.72</w:t>
            </w:r>
          </w:p>
        </w:tc>
        <w:tc>
          <w:tcPr>
            <w:tcW w:w="1317" w:type="dxa"/>
            <w:tcBorders>
              <w:tl2br w:val="nil"/>
              <w:tr2bl w:val="nil"/>
            </w:tcBorders>
            <w:vAlign w:val="center"/>
          </w:tcPr>
          <w:p>
            <w:pPr>
              <w:adjustRightInd w:val="0"/>
              <w:snapToGrid w:val="0"/>
              <w:jc w:val="center"/>
            </w:pPr>
            <w:r>
              <w:rPr>
                <w:b/>
                <w:bCs/>
                <w:sz w:val="24"/>
              </w:rPr>
              <w:t>环保投资（万元）</w:t>
            </w:r>
          </w:p>
        </w:tc>
        <w:tc>
          <w:tcPr>
            <w:tcW w:w="3062" w:type="dxa"/>
            <w:tcBorders>
              <w:tl2br w:val="nil"/>
              <w:tr2bl w:val="nil"/>
            </w:tcBorders>
            <w:vAlign w:val="center"/>
          </w:tcPr>
          <w:p>
            <w:pPr>
              <w:adjustRightInd w:val="0"/>
              <w:snapToGrid w:val="0"/>
              <w:jc w:val="center"/>
            </w:pPr>
            <w:r>
              <w:rPr>
                <w:rFonts w:hint="eastAsia"/>
                <w:sz w:val="24"/>
                <w:highlight w:val="none"/>
              </w:rPr>
              <w:t>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166" w:type="dxa"/>
            <w:gridSpan w:val="3"/>
            <w:tcBorders>
              <w:tl2br w:val="nil"/>
              <w:tr2bl w:val="nil"/>
            </w:tcBorders>
            <w:vAlign w:val="center"/>
          </w:tcPr>
          <w:p>
            <w:pPr>
              <w:adjustRightInd w:val="0"/>
              <w:snapToGrid w:val="0"/>
              <w:jc w:val="center"/>
            </w:pPr>
            <w:r>
              <w:rPr>
                <w:b/>
                <w:bCs/>
                <w:sz w:val="24"/>
              </w:rPr>
              <w:t>环保投资占比（%）</w:t>
            </w:r>
          </w:p>
        </w:tc>
        <w:tc>
          <w:tcPr>
            <w:tcW w:w="2984" w:type="dxa"/>
            <w:tcBorders>
              <w:tl2br w:val="nil"/>
              <w:tr2bl w:val="nil"/>
            </w:tcBorders>
            <w:vAlign w:val="center"/>
          </w:tcPr>
          <w:p>
            <w:pPr>
              <w:adjustRightInd w:val="0"/>
              <w:snapToGrid w:val="0"/>
              <w:jc w:val="center"/>
            </w:pPr>
            <w:r>
              <w:rPr>
                <w:rFonts w:hint="eastAsia"/>
                <w:sz w:val="24"/>
              </w:rPr>
              <w:t>3.8</w:t>
            </w:r>
          </w:p>
        </w:tc>
        <w:tc>
          <w:tcPr>
            <w:tcW w:w="1317" w:type="dxa"/>
            <w:tcBorders>
              <w:tl2br w:val="nil"/>
              <w:tr2bl w:val="nil"/>
            </w:tcBorders>
            <w:vAlign w:val="center"/>
          </w:tcPr>
          <w:p>
            <w:pPr>
              <w:adjustRightInd w:val="0"/>
              <w:snapToGrid w:val="0"/>
              <w:jc w:val="center"/>
            </w:pPr>
            <w:r>
              <w:rPr>
                <w:b/>
                <w:bCs/>
                <w:sz w:val="24"/>
              </w:rPr>
              <w:t>施工工期</w:t>
            </w:r>
          </w:p>
        </w:tc>
        <w:tc>
          <w:tcPr>
            <w:tcW w:w="3062" w:type="dxa"/>
            <w:tcBorders>
              <w:tl2br w:val="nil"/>
              <w:tr2bl w:val="nil"/>
            </w:tcBorders>
            <w:vAlign w:val="center"/>
          </w:tcPr>
          <w:p>
            <w:pPr>
              <w:adjustRightInd w:val="0"/>
              <w:snapToGrid w:val="0"/>
              <w:jc w:val="center"/>
            </w:pPr>
            <w:r>
              <w:rPr>
                <w:rFonts w:hint="eastAsia"/>
                <w:sz w:val="24"/>
              </w:rPr>
              <w:t>6</w:t>
            </w:r>
            <w:r>
              <w:rPr>
                <w:sz w:val="24"/>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66" w:type="dxa"/>
            <w:gridSpan w:val="3"/>
            <w:tcBorders>
              <w:tl2br w:val="nil"/>
              <w:tr2bl w:val="nil"/>
            </w:tcBorders>
            <w:vAlign w:val="center"/>
          </w:tcPr>
          <w:p>
            <w:pPr>
              <w:adjustRightInd w:val="0"/>
              <w:snapToGrid w:val="0"/>
              <w:jc w:val="center"/>
            </w:pPr>
            <w:r>
              <w:rPr>
                <w:b/>
                <w:bCs/>
                <w:sz w:val="24"/>
              </w:rPr>
              <w:t>是否开工建设</w:t>
            </w:r>
          </w:p>
        </w:tc>
        <w:tc>
          <w:tcPr>
            <w:tcW w:w="2984" w:type="dxa"/>
            <w:tcBorders>
              <w:tl2br w:val="nil"/>
              <w:tr2bl w:val="nil"/>
            </w:tcBorders>
            <w:vAlign w:val="center"/>
          </w:tcPr>
          <w:p>
            <w:pPr>
              <w:adjustRightInd w:val="0"/>
              <w:snapToGrid w:val="0"/>
              <w:rPr>
                <w:sz w:val="24"/>
              </w:rPr>
            </w:pPr>
            <w:r>
              <w:rPr>
                <w:rFonts w:hint="eastAsia"/>
                <w:sz w:val="24"/>
              </w:rPr>
              <w:t>☑</w:t>
            </w:r>
            <w:r>
              <w:rPr>
                <w:sz w:val="24"/>
              </w:rPr>
              <w:t>否</w:t>
            </w:r>
          </w:p>
          <w:p>
            <w:pPr>
              <w:adjustRightInd w:val="0"/>
              <w:snapToGrid w:val="0"/>
            </w:pPr>
            <w:r>
              <w:rPr>
                <w:rFonts w:hint="eastAsia"/>
                <w:sz w:val="24"/>
              </w:rPr>
              <w:t>□</w:t>
            </w:r>
            <w:r>
              <w:rPr>
                <w:sz w:val="24"/>
              </w:rPr>
              <w:t>是：</w:t>
            </w:r>
            <w:r>
              <w:rPr>
                <w:sz w:val="24"/>
                <w:u w:val="single"/>
              </w:rPr>
              <w:t xml:space="preserve">             </w:t>
            </w:r>
          </w:p>
        </w:tc>
        <w:tc>
          <w:tcPr>
            <w:tcW w:w="1317" w:type="dxa"/>
            <w:tcBorders>
              <w:tl2br w:val="nil"/>
              <w:tr2bl w:val="nil"/>
            </w:tcBorders>
            <w:vAlign w:val="center"/>
          </w:tcPr>
          <w:p>
            <w:pPr>
              <w:adjustRightInd w:val="0"/>
              <w:snapToGrid w:val="0"/>
              <w:jc w:val="center"/>
            </w:pPr>
            <w:r>
              <w:rPr>
                <w:b/>
                <w:bCs/>
                <w:spacing w:val="-6"/>
                <w:sz w:val="24"/>
              </w:rPr>
              <w:t>建筑面积（m</w:t>
            </w:r>
            <w:r>
              <w:rPr>
                <w:b/>
                <w:bCs/>
                <w:spacing w:val="-6"/>
                <w:sz w:val="24"/>
                <w:vertAlign w:val="superscript"/>
              </w:rPr>
              <w:t>2</w:t>
            </w:r>
            <w:r>
              <w:rPr>
                <w:b/>
                <w:bCs/>
                <w:spacing w:val="-6"/>
                <w:sz w:val="24"/>
              </w:rPr>
              <w:t>）</w:t>
            </w:r>
          </w:p>
        </w:tc>
        <w:tc>
          <w:tcPr>
            <w:tcW w:w="3062" w:type="dxa"/>
            <w:tcBorders>
              <w:tl2br w:val="nil"/>
              <w:tr2bl w:val="nil"/>
            </w:tcBorders>
            <w:vAlign w:val="center"/>
          </w:tcPr>
          <w:p>
            <w:pPr>
              <w:adjustRightInd w:val="0"/>
              <w:snapToGrid w:val="0"/>
              <w:jc w:val="center"/>
            </w:pPr>
            <w:r>
              <w:rPr>
                <w:rFonts w:hint="eastAsia"/>
                <w:sz w:val="24"/>
              </w:rPr>
              <w:t>700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2166" w:type="dxa"/>
            <w:gridSpan w:val="3"/>
            <w:tcBorders>
              <w:tl2br w:val="nil"/>
              <w:tr2bl w:val="nil"/>
            </w:tcBorders>
            <w:vAlign w:val="center"/>
          </w:tcPr>
          <w:p>
            <w:pPr>
              <w:autoSpaceDE w:val="0"/>
              <w:autoSpaceDN w:val="0"/>
              <w:adjustRightInd w:val="0"/>
              <w:snapToGrid w:val="0"/>
              <w:jc w:val="center"/>
            </w:pPr>
            <w:r>
              <w:rPr>
                <w:b/>
                <w:bCs/>
                <w:kern w:val="0"/>
                <w:sz w:val="24"/>
              </w:rPr>
              <w:t>专项评价设置情况</w:t>
            </w:r>
          </w:p>
        </w:tc>
        <w:tc>
          <w:tcPr>
            <w:tcW w:w="7363" w:type="dxa"/>
            <w:gridSpan w:val="3"/>
            <w:tcBorders>
              <w:tl2br w:val="nil"/>
              <w:tr2bl w:val="nil"/>
            </w:tcBorders>
            <w:vAlign w:val="center"/>
          </w:tcPr>
          <w:p>
            <w:pPr>
              <w:widowControl/>
              <w:jc w:val="center"/>
            </w:pPr>
            <w:r>
              <w:rPr>
                <w:rFonts w:hint="eastAsia"/>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2166" w:type="dxa"/>
            <w:gridSpan w:val="3"/>
            <w:tcBorders>
              <w:tl2br w:val="nil"/>
              <w:tr2bl w:val="nil"/>
            </w:tcBorders>
            <w:vAlign w:val="center"/>
          </w:tcPr>
          <w:p>
            <w:pPr>
              <w:autoSpaceDE w:val="0"/>
              <w:autoSpaceDN w:val="0"/>
              <w:adjustRightInd w:val="0"/>
              <w:snapToGrid w:val="0"/>
              <w:jc w:val="center"/>
            </w:pPr>
            <w:r>
              <w:rPr>
                <w:b/>
                <w:bCs/>
                <w:sz w:val="24"/>
              </w:rPr>
              <w:t>规划情况</w:t>
            </w:r>
          </w:p>
        </w:tc>
        <w:tc>
          <w:tcPr>
            <w:tcW w:w="7363" w:type="dxa"/>
            <w:gridSpan w:val="3"/>
            <w:tcBorders>
              <w:tl2br w:val="nil"/>
              <w:tr2bl w:val="nil"/>
            </w:tcBorders>
            <w:vAlign w:val="center"/>
          </w:tcPr>
          <w:p>
            <w:pPr>
              <w:autoSpaceDE w:val="0"/>
              <w:autoSpaceDN w:val="0"/>
              <w:adjustRightInd w:val="0"/>
              <w:snapToGrid w:val="0"/>
              <w:spacing w:line="360" w:lineRule="auto"/>
              <w:ind w:firstLine="480" w:firstLineChars="200"/>
              <w:rPr>
                <w:sz w:val="24"/>
              </w:rPr>
            </w:pPr>
            <w:r>
              <w:rPr>
                <w:rFonts w:hint="eastAsia"/>
                <w:sz w:val="24"/>
              </w:rPr>
              <w:t>《金坛经济开发区规划》</w:t>
            </w:r>
          </w:p>
          <w:p>
            <w:pPr>
              <w:autoSpaceDE w:val="0"/>
              <w:autoSpaceDN w:val="0"/>
              <w:adjustRightInd w:val="0"/>
              <w:snapToGrid w:val="0"/>
              <w:spacing w:line="360" w:lineRule="auto"/>
              <w:ind w:firstLine="480" w:firstLineChars="200"/>
              <w:rPr>
                <w:sz w:val="24"/>
              </w:rPr>
            </w:pPr>
            <w:r>
              <w:rPr>
                <w:rFonts w:hint="eastAsia"/>
                <w:sz w:val="24"/>
              </w:rPr>
              <w:t>审批单位：江苏省人民政府</w:t>
            </w:r>
          </w:p>
          <w:p>
            <w:pPr>
              <w:autoSpaceDE w:val="0"/>
              <w:autoSpaceDN w:val="0"/>
              <w:adjustRightInd w:val="0"/>
              <w:snapToGrid w:val="0"/>
              <w:spacing w:line="360" w:lineRule="auto"/>
              <w:ind w:firstLine="480" w:firstLineChars="200"/>
            </w:pPr>
            <w:r>
              <w:rPr>
                <w:rFonts w:hint="eastAsia"/>
                <w:sz w:val="24"/>
              </w:rPr>
              <w:t xml:space="preserve">审批文件名称及文号：《省政府关于同意设立海门经济开发区等 </w:t>
            </w:r>
            <w:r>
              <w:rPr>
                <w:sz w:val="24"/>
              </w:rPr>
              <w:t xml:space="preserve">13 </w:t>
            </w:r>
            <w:r>
              <w:rPr>
                <w:rFonts w:hint="eastAsia"/>
                <w:sz w:val="24"/>
              </w:rPr>
              <w:t>家省级开发区的批复》苏政复</w:t>
            </w:r>
            <w:r>
              <w:rPr>
                <w:sz w:val="24"/>
              </w:rPr>
              <w:t xml:space="preserve">[1993]60 </w:t>
            </w:r>
            <w:r>
              <w:rPr>
                <w:rFonts w:hint="eastAsia"/>
                <w:sz w:val="24"/>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2166" w:type="dxa"/>
            <w:gridSpan w:val="3"/>
            <w:tcBorders>
              <w:tl2br w:val="nil"/>
              <w:tr2bl w:val="nil"/>
            </w:tcBorders>
            <w:vAlign w:val="center"/>
          </w:tcPr>
          <w:p>
            <w:pPr>
              <w:adjustRightInd w:val="0"/>
              <w:snapToGrid w:val="0"/>
              <w:jc w:val="center"/>
            </w:pPr>
            <w:r>
              <w:rPr>
                <w:b/>
                <w:bCs/>
                <w:sz w:val="24"/>
              </w:rPr>
              <w:t>规划环境影响评价情况</w:t>
            </w:r>
          </w:p>
        </w:tc>
        <w:tc>
          <w:tcPr>
            <w:tcW w:w="7363" w:type="dxa"/>
            <w:gridSpan w:val="3"/>
            <w:tcBorders>
              <w:tl2br w:val="nil"/>
              <w:tr2bl w:val="nil"/>
            </w:tcBorders>
            <w:vAlign w:val="center"/>
          </w:tcPr>
          <w:p>
            <w:pPr>
              <w:autoSpaceDE w:val="0"/>
              <w:autoSpaceDN w:val="0"/>
              <w:adjustRightInd w:val="0"/>
              <w:snapToGrid w:val="0"/>
              <w:spacing w:line="360" w:lineRule="auto"/>
              <w:ind w:firstLine="480" w:firstLineChars="200"/>
              <w:rPr>
                <w:sz w:val="24"/>
              </w:rPr>
            </w:pPr>
            <w:r>
              <w:rPr>
                <w:rFonts w:hint="eastAsia"/>
                <w:sz w:val="24"/>
              </w:rPr>
              <w:t>《江苏金坛经济开发区发展规划（</w:t>
            </w:r>
            <w:r>
              <w:rPr>
                <w:sz w:val="24"/>
              </w:rPr>
              <w:t>2020-2035</w:t>
            </w:r>
            <w:r>
              <w:rPr>
                <w:rFonts w:hint="eastAsia"/>
                <w:sz w:val="24"/>
              </w:rPr>
              <w:t>）环境影响评价报告书》</w:t>
            </w:r>
          </w:p>
          <w:p>
            <w:pPr>
              <w:autoSpaceDE w:val="0"/>
              <w:autoSpaceDN w:val="0"/>
              <w:adjustRightInd w:val="0"/>
              <w:snapToGrid w:val="0"/>
              <w:spacing w:line="360" w:lineRule="auto"/>
              <w:ind w:firstLine="480" w:firstLineChars="200"/>
              <w:rPr>
                <w:sz w:val="24"/>
              </w:rPr>
            </w:pPr>
            <w:r>
              <w:rPr>
                <w:rFonts w:hint="eastAsia"/>
                <w:sz w:val="24"/>
              </w:rPr>
              <w:t>审查单位：江苏省环境保护厅</w:t>
            </w:r>
          </w:p>
          <w:p>
            <w:pPr>
              <w:autoSpaceDE w:val="0"/>
              <w:autoSpaceDN w:val="0"/>
              <w:adjustRightInd w:val="0"/>
              <w:snapToGrid w:val="0"/>
              <w:spacing w:line="360" w:lineRule="auto"/>
              <w:ind w:firstLine="480" w:firstLineChars="200"/>
              <w:rPr>
                <w:sz w:val="24"/>
              </w:rPr>
            </w:pPr>
            <w:r>
              <w:rPr>
                <w:rFonts w:hint="eastAsia"/>
                <w:sz w:val="24"/>
              </w:rPr>
              <w:t>审查文件名称及文号：《关于金坛经济开发区发展规划环境影响评价审查意见》苏环审</w:t>
            </w:r>
            <w:r>
              <w:rPr>
                <w:sz w:val="24"/>
              </w:rPr>
              <w:t xml:space="preserve">[2015]52 </w:t>
            </w:r>
            <w:r>
              <w:rPr>
                <w:rFonts w:hint="eastAsia"/>
                <w:sz w:val="24"/>
              </w:rPr>
              <w:t>号，</w:t>
            </w:r>
            <w:r>
              <w:rPr>
                <w:sz w:val="24"/>
              </w:rPr>
              <w:t>2015</w:t>
            </w:r>
            <w:r>
              <w:rPr>
                <w:rFonts w:hint="eastAsia"/>
                <w:sz w:val="24"/>
              </w:rPr>
              <w:t>年</w:t>
            </w:r>
            <w:r>
              <w:rPr>
                <w:sz w:val="24"/>
              </w:rPr>
              <w:t>5</w:t>
            </w:r>
            <w:r>
              <w:rPr>
                <w:rFonts w:hint="eastAsia"/>
                <w:sz w:val="24"/>
              </w:rPr>
              <w:t>月</w:t>
            </w:r>
            <w:r>
              <w:rPr>
                <w:sz w:val="24"/>
              </w:rPr>
              <w:t>25</w:t>
            </w:r>
            <w:r>
              <w:rPr>
                <w:rFonts w:hint="eastAsia"/>
                <w:sz w:val="24"/>
              </w:rPr>
              <w:t xml:space="preserve">日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97" w:hRule="atLeast"/>
          <w:jc w:val="center"/>
        </w:trPr>
        <w:tc>
          <w:tcPr>
            <w:tcW w:w="739" w:type="dxa"/>
            <w:gridSpan w:val="2"/>
            <w:tcBorders>
              <w:tl2br w:val="nil"/>
              <w:tr2bl w:val="nil"/>
            </w:tcBorders>
            <w:vAlign w:val="center"/>
          </w:tcPr>
          <w:p>
            <w:pPr>
              <w:jc w:val="center"/>
            </w:pPr>
            <w:r>
              <w:rPr>
                <w:b/>
                <w:bCs/>
                <w:kern w:val="0"/>
                <w:sz w:val="24"/>
              </w:rPr>
              <w:t>规划及规划环境影响评价符合性分析</w:t>
            </w:r>
          </w:p>
        </w:tc>
        <w:tc>
          <w:tcPr>
            <w:tcW w:w="8790" w:type="dxa"/>
            <w:gridSpan w:val="4"/>
            <w:tcBorders>
              <w:tl2br w:val="nil"/>
              <w:tr2bl w:val="nil"/>
            </w:tcBorders>
            <w:vAlign w:val="center"/>
          </w:tcPr>
          <w:p>
            <w:pPr>
              <w:numPr>
                <w:ilvl w:val="0"/>
                <w:numId w:val="2"/>
              </w:numPr>
              <w:adjustRightInd w:val="0"/>
              <w:snapToGrid w:val="0"/>
              <w:rPr>
                <w:b/>
                <w:bCs/>
                <w:sz w:val="24"/>
              </w:rPr>
            </w:pPr>
            <w:r>
              <w:rPr>
                <w:b/>
                <w:bCs/>
                <w:sz w:val="24"/>
              </w:rPr>
              <w:t>产业及选址相关规划相符性</w:t>
            </w:r>
          </w:p>
          <w:p>
            <w:pPr>
              <w:pStyle w:val="2"/>
              <w:wordWrap w:val="0"/>
              <w:spacing w:after="0" w:line="360" w:lineRule="auto"/>
              <w:ind w:firstLine="480" w:firstLineChars="200"/>
              <w:rPr>
                <w:sz w:val="24"/>
              </w:rPr>
            </w:pPr>
            <w:r>
              <w:rPr>
                <w:rFonts w:hint="eastAsia"/>
                <w:sz w:val="24"/>
              </w:rPr>
              <w:t>（1）用地规划相符性</w:t>
            </w:r>
          </w:p>
          <w:p>
            <w:pPr>
              <w:widowControl/>
              <w:wordWrap w:val="0"/>
              <w:spacing w:line="360" w:lineRule="auto"/>
              <w:ind w:firstLine="480" w:firstLineChars="200"/>
              <w:jc w:val="left"/>
              <w:rPr>
                <w:sz w:val="24"/>
              </w:rPr>
            </w:pPr>
            <w:r>
              <w:rPr>
                <w:rFonts w:hint="eastAsia" w:ascii="宋体" w:hAnsi="宋体" w:cs="宋体"/>
                <w:color w:val="000000"/>
                <w:kern w:val="0"/>
                <w:sz w:val="24"/>
              </w:rPr>
              <w:t>①本项目位于金坛经济开发区汇福路5号，根据已取得</w:t>
            </w:r>
            <w:r>
              <w:rPr>
                <w:rFonts w:hint="eastAsia" w:ascii="宋体" w:hAnsi="宋体" w:cs="宋体"/>
                <w:color w:val="0000FF"/>
                <w:kern w:val="0"/>
                <w:sz w:val="24"/>
              </w:rPr>
              <w:t>的</w:t>
            </w:r>
            <w:r>
              <w:rPr>
                <w:rFonts w:hint="eastAsia" w:ascii="宋体" w:hAnsi="宋体" w:cs="宋体"/>
                <w:color w:val="0000FF"/>
                <w:kern w:val="0"/>
                <w:sz w:val="24"/>
                <w:lang w:eastAsia="zh-CN"/>
              </w:rPr>
              <w:t>租赁房</w:t>
            </w:r>
            <w:r>
              <w:rPr>
                <w:rFonts w:hint="eastAsia" w:ascii="宋体" w:hAnsi="宋体" w:cs="宋体"/>
                <w:color w:val="0000FF"/>
                <w:kern w:val="0"/>
                <w:sz w:val="24"/>
              </w:rPr>
              <w:t>不动产权证</w:t>
            </w:r>
            <w:r>
              <w:rPr>
                <w:rFonts w:hint="eastAsia" w:ascii="宋体" w:hAnsi="宋体" w:cs="宋体"/>
                <w:color w:val="000000"/>
                <w:kern w:val="0"/>
                <w:sz w:val="24"/>
              </w:rPr>
              <w:t>（苏（</w:t>
            </w:r>
            <w:r>
              <w:rPr>
                <w:color w:val="000000"/>
                <w:kern w:val="0"/>
                <w:sz w:val="24"/>
              </w:rPr>
              <w:t>202</w:t>
            </w:r>
            <w:r>
              <w:rPr>
                <w:rFonts w:hint="eastAsia"/>
                <w:color w:val="000000"/>
                <w:kern w:val="0"/>
                <w:sz w:val="24"/>
              </w:rPr>
              <w:t>1</w:t>
            </w:r>
            <w:r>
              <w:rPr>
                <w:rFonts w:hint="eastAsia" w:ascii="宋体" w:hAnsi="宋体" w:cs="宋体"/>
                <w:color w:val="000000"/>
                <w:kern w:val="0"/>
                <w:sz w:val="24"/>
              </w:rPr>
              <w:t>）金坛区不动产权第</w:t>
            </w:r>
            <w:r>
              <w:rPr>
                <w:color w:val="000000"/>
                <w:kern w:val="0"/>
                <w:sz w:val="24"/>
              </w:rPr>
              <w:t>00</w:t>
            </w:r>
            <w:r>
              <w:rPr>
                <w:rFonts w:hint="eastAsia"/>
                <w:color w:val="000000"/>
                <w:kern w:val="0"/>
                <w:sz w:val="24"/>
              </w:rPr>
              <w:t>12731</w:t>
            </w:r>
            <w:r>
              <w:rPr>
                <w:rFonts w:hint="eastAsia" w:ascii="宋体" w:hAnsi="宋体" w:cs="宋体"/>
                <w:color w:val="000000"/>
                <w:kern w:val="0"/>
                <w:sz w:val="24"/>
              </w:rPr>
              <w:t xml:space="preserve">号），本项目所在地用地性质为工业用地。因此，项目建设与用地性质相符。 </w:t>
            </w:r>
          </w:p>
          <w:p>
            <w:pPr>
              <w:widowControl/>
              <w:wordWrap w:val="0"/>
              <w:spacing w:line="360" w:lineRule="auto"/>
              <w:ind w:firstLine="480" w:firstLineChars="200"/>
              <w:jc w:val="left"/>
              <w:rPr>
                <w:sz w:val="24"/>
              </w:rPr>
            </w:pPr>
            <w:r>
              <w:rPr>
                <w:rFonts w:hint="eastAsia" w:ascii="宋体" w:hAnsi="宋体" w:cs="宋体"/>
                <w:color w:val="000000"/>
                <w:kern w:val="0"/>
                <w:sz w:val="24"/>
              </w:rPr>
              <w:t>②本项目用地不属于国土资源部和国家发改委《限制用地项目目录（</w:t>
            </w:r>
            <w:r>
              <w:rPr>
                <w:color w:val="000000"/>
                <w:kern w:val="0"/>
                <w:sz w:val="24"/>
              </w:rPr>
              <w:t xml:space="preserve">2012 </w:t>
            </w:r>
            <w:r>
              <w:rPr>
                <w:rFonts w:hint="eastAsia" w:ascii="宋体" w:hAnsi="宋体" w:cs="宋体"/>
                <w:color w:val="000000"/>
                <w:kern w:val="0"/>
                <w:sz w:val="24"/>
              </w:rPr>
              <w:t>年本）》和《禁止用地项目目录（</w:t>
            </w:r>
            <w:r>
              <w:rPr>
                <w:color w:val="000000"/>
                <w:kern w:val="0"/>
                <w:sz w:val="24"/>
              </w:rPr>
              <w:t xml:space="preserve">2012 </w:t>
            </w:r>
            <w:r>
              <w:rPr>
                <w:rFonts w:hint="eastAsia" w:ascii="宋体" w:hAnsi="宋体" w:cs="宋体"/>
                <w:color w:val="000000"/>
                <w:kern w:val="0"/>
                <w:sz w:val="24"/>
              </w:rPr>
              <w:t>年本）》中，也未列入省国土资源厅、省发改委、省经信委《江苏省限制用地项目目录</w:t>
            </w:r>
            <w:r>
              <w:rPr>
                <w:color w:val="000000"/>
                <w:kern w:val="0"/>
                <w:sz w:val="24"/>
              </w:rPr>
              <w:t xml:space="preserve">2013 </w:t>
            </w:r>
            <w:r>
              <w:rPr>
                <w:rFonts w:hint="eastAsia" w:ascii="宋体" w:hAnsi="宋体" w:cs="宋体"/>
                <w:color w:val="000000"/>
                <w:kern w:val="0"/>
                <w:sz w:val="24"/>
              </w:rPr>
              <w:t>年本）》和《江苏省禁止用地项目目录（</w:t>
            </w:r>
            <w:r>
              <w:rPr>
                <w:color w:val="000000"/>
                <w:kern w:val="0"/>
                <w:sz w:val="24"/>
              </w:rPr>
              <w:t xml:space="preserve">2013 </w:t>
            </w:r>
            <w:r>
              <w:rPr>
                <w:rFonts w:hint="eastAsia" w:ascii="宋体" w:hAnsi="宋体" w:cs="宋体"/>
                <w:color w:val="000000"/>
                <w:kern w:val="0"/>
                <w:sz w:val="24"/>
              </w:rPr>
              <w:t xml:space="preserve">年本）》中限制用地和禁止用地项目，符合用地规划要求。 </w:t>
            </w:r>
          </w:p>
          <w:p>
            <w:pPr>
              <w:widowControl/>
              <w:wordWrap w:val="0"/>
              <w:spacing w:line="360" w:lineRule="auto"/>
              <w:ind w:firstLine="480" w:firstLineChars="200"/>
              <w:jc w:val="left"/>
              <w:rPr>
                <w:sz w:val="24"/>
              </w:rPr>
            </w:pPr>
            <w:r>
              <w:rPr>
                <w:rFonts w:hint="eastAsia" w:ascii="宋体" w:hAnsi="宋体" w:cs="宋体"/>
                <w:color w:val="000000"/>
                <w:kern w:val="0"/>
                <w:sz w:val="24"/>
              </w:rPr>
              <w:t xml:space="preserve">③根据《金坛经济开发区土地利用规划图》（见附图 </w:t>
            </w:r>
            <w:r>
              <w:rPr>
                <w:color w:val="000000"/>
                <w:kern w:val="0"/>
                <w:sz w:val="24"/>
              </w:rPr>
              <w:t>5</w:t>
            </w:r>
            <w:r>
              <w:rPr>
                <w:rFonts w:hint="eastAsia" w:ascii="宋体" w:hAnsi="宋体" w:cs="宋体"/>
                <w:color w:val="000000"/>
                <w:kern w:val="0"/>
                <w:sz w:val="24"/>
              </w:rPr>
              <w:t xml:space="preserve">），本项目所在地块规划为二类工业用地，本项目进行工业生产，与用地规划相符。 </w:t>
            </w:r>
          </w:p>
          <w:p>
            <w:pPr>
              <w:widowControl/>
              <w:wordWrap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综上所述，本项目的建设符合产业政策及区域规划。</w:t>
            </w:r>
          </w:p>
          <w:p>
            <w:pPr>
              <w:pStyle w:val="2"/>
              <w:wordWrap w:val="0"/>
              <w:spacing w:after="0" w:line="360" w:lineRule="auto"/>
              <w:ind w:firstLine="480" w:firstLineChars="200"/>
              <w:rPr>
                <w:sz w:val="24"/>
              </w:rPr>
            </w:pPr>
            <w:r>
              <w:rPr>
                <w:rFonts w:hint="eastAsia"/>
                <w:sz w:val="24"/>
              </w:rPr>
              <w:t>（</w:t>
            </w:r>
            <w:r>
              <w:rPr>
                <w:sz w:val="24"/>
              </w:rPr>
              <w:t>2</w:t>
            </w:r>
            <w:r>
              <w:rPr>
                <w:rFonts w:hint="eastAsia"/>
                <w:sz w:val="24"/>
              </w:rPr>
              <w:t xml:space="preserve">）产业政策相符性分析 </w:t>
            </w:r>
          </w:p>
          <w:p>
            <w:pPr>
              <w:pStyle w:val="2"/>
              <w:wordWrap w:val="0"/>
              <w:spacing w:after="0" w:line="360" w:lineRule="auto"/>
              <w:ind w:firstLine="480" w:firstLineChars="200"/>
              <w:rPr>
                <w:sz w:val="24"/>
              </w:rPr>
            </w:pPr>
            <w:r>
              <w:rPr>
                <w:rFonts w:hint="eastAsia"/>
                <w:sz w:val="24"/>
              </w:rPr>
              <w:t xml:space="preserve">①本项目为塑料制品的生产，属于 </w:t>
            </w:r>
            <w:r>
              <w:rPr>
                <w:sz w:val="24"/>
              </w:rPr>
              <w:t>C29</w:t>
            </w:r>
            <w:r>
              <w:rPr>
                <w:rFonts w:hint="eastAsia"/>
                <w:sz w:val="24"/>
              </w:rPr>
              <w:t>29</w:t>
            </w:r>
            <w:r>
              <w:rPr>
                <w:sz w:val="24"/>
              </w:rPr>
              <w:t xml:space="preserve"> </w:t>
            </w:r>
            <w:r>
              <w:rPr>
                <w:rFonts w:hint="eastAsia"/>
                <w:sz w:val="24"/>
              </w:rPr>
              <w:t>塑料零件及其他塑料制品制造，采用的工艺、使用的设备及生产的产品均不属于《产业结构调整指导目录（</w:t>
            </w:r>
            <w:r>
              <w:rPr>
                <w:sz w:val="24"/>
              </w:rPr>
              <w:t xml:space="preserve">2019 </w:t>
            </w:r>
            <w:r>
              <w:rPr>
                <w:rFonts w:hint="eastAsia"/>
                <w:sz w:val="24"/>
              </w:rPr>
              <w:t>年本）》中限制和淘汰类条目中，也不属于省政府办公厅《</w:t>
            </w:r>
            <w:r>
              <w:rPr>
                <w:sz w:val="24"/>
              </w:rPr>
              <w:t>&lt;</w:t>
            </w:r>
            <w:r>
              <w:rPr>
                <w:rFonts w:hint="eastAsia"/>
                <w:sz w:val="24"/>
              </w:rPr>
              <w:t>江苏省工业和信息产业结构调整指导目录（</w:t>
            </w:r>
            <w:r>
              <w:rPr>
                <w:sz w:val="24"/>
              </w:rPr>
              <w:t>2012</w:t>
            </w:r>
            <w:r>
              <w:rPr>
                <w:rFonts w:hint="eastAsia"/>
                <w:sz w:val="24"/>
              </w:rPr>
              <w:t>）</w:t>
            </w:r>
            <w:r>
              <w:rPr>
                <w:sz w:val="24"/>
              </w:rPr>
              <w:t>&gt;</w:t>
            </w:r>
            <w:r>
              <w:rPr>
                <w:rFonts w:hint="eastAsia"/>
                <w:sz w:val="24"/>
              </w:rPr>
              <w:t>部分修改条目》、《省政府办公厅转发省经济和信息化委省发展改革委江苏省工业和信息产业结构调整限制淘汰目录和能耗限额的通知》（苏政办发〔</w:t>
            </w:r>
            <w:r>
              <w:rPr>
                <w:sz w:val="24"/>
              </w:rPr>
              <w:t>2015</w:t>
            </w:r>
            <w:r>
              <w:rPr>
                <w:rFonts w:hint="eastAsia"/>
                <w:sz w:val="24"/>
              </w:rPr>
              <w:t>〕</w:t>
            </w:r>
            <w:r>
              <w:rPr>
                <w:sz w:val="24"/>
              </w:rPr>
              <w:t xml:space="preserve">118 </w:t>
            </w:r>
            <w:r>
              <w:rPr>
                <w:rFonts w:hint="eastAsia"/>
                <w:sz w:val="24"/>
              </w:rPr>
              <w:t xml:space="preserve">号）中限制与淘汰类条目之中。 </w:t>
            </w:r>
          </w:p>
          <w:p>
            <w:pPr>
              <w:pStyle w:val="2"/>
              <w:wordWrap w:val="0"/>
              <w:spacing w:after="0" w:line="360" w:lineRule="auto"/>
              <w:ind w:firstLine="480" w:firstLineChars="200"/>
              <w:rPr>
                <w:sz w:val="24"/>
              </w:rPr>
            </w:pPr>
            <w:r>
              <w:rPr>
                <w:rFonts w:hint="eastAsia"/>
                <w:sz w:val="24"/>
              </w:rPr>
              <w:t>②本项目工艺装备和产品不属于《部分工业行业淘汰落后生产工艺装备和产品 指导目录（</w:t>
            </w:r>
            <w:r>
              <w:rPr>
                <w:sz w:val="24"/>
              </w:rPr>
              <w:t xml:space="preserve">2010 </w:t>
            </w:r>
            <w:r>
              <w:rPr>
                <w:rFonts w:hint="eastAsia"/>
                <w:sz w:val="24"/>
              </w:rPr>
              <w:t>年本）》（工产业﹝</w:t>
            </w:r>
            <w:r>
              <w:rPr>
                <w:sz w:val="24"/>
              </w:rPr>
              <w:t>2010</w:t>
            </w:r>
            <w:r>
              <w:rPr>
                <w:rFonts w:hint="eastAsia"/>
                <w:sz w:val="24"/>
              </w:rPr>
              <w:t xml:space="preserve">﹞第 </w:t>
            </w:r>
            <w:r>
              <w:rPr>
                <w:sz w:val="24"/>
              </w:rPr>
              <w:t xml:space="preserve">122 </w:t>
            </w:r>
            <w:r>
              <w:rPr>
                <w:rFonts w:hint="eastAsia"/>
                <w:sz w:val="24"/>
              </w:rPr>
              <w:t xml:space="preserve">号）中淘汰和落后项目。 </w:t>
            </w:r>
          </w:p>
          <w:p>
            <w:pPr>
              <w:pStyle w:val="2"/>
              <w:wordWrap w:val="0"/>
              <w:spacing w:after="0" w:line="360" w:lineRule="auto"/>
              <w:ind w:firstLine="480" w:firstLineChars="200"/>
              <w:rPr>
                <w:sz w:val="24"/>
              </w:rPr>
            </w:pPr>
            <w:r>
              <w:rPr>
                <w:rFonts w:hint="eastAsia"/>
                <w:sz w:val="24"/>
              </w:rPr>
              <w:t>③本项目不属于《市场准入负面清单（</w:t>
            </w:r>
            <w:r>
              <w:rPr>
                <w:sz w:val="24"/>
              </w:rPr>
              <w:t xml:space="preserve">2022 </w:t>
            </w:r>
            <w:r>
              <w:rPr>
                <w:rFonts w:hint="eastAsia"/>
                <w:sz w:val="24"/>
              </w:rPr>
              <w:t>版）》其禁止准入类和限准入类。</w:t>
            </w:r>
          </w:p>
          <w:p>
            <w:pPr>
              <w:pStyle w:val="2"/>
              <w:wordWrap w:val="0"/>
              <w:spacing w:after="0" w:line="360" w:lineRule="auto"/>
              <w:ind w:firstLine="480" w:firstLineChars="200"/>
              <w:rPr>
                <w:sz w:val="24"/>
              </w:rPr>
            </w:pPr>
            <w:r>
              <w:rPr>
                <w:rFonts w:hint="eastAsia"/>
                <w:sz w:val="24"/>
              </w:rPr>
              <w:t>④本项目不属于《长江经济带发展负面清单指南（试行，</w:t>
            </w:r>
            <w:r>
              <w:rPr>
                <w:sz w:val="24"/>
              </w:rPr>
              <w:t xml:space="preserve">2022 </w:t>
            </w:r>
            <w:r>
              <w:rPr>
                <w:rFonts w:hint="eastAsia"/>
                <w:sz w:val="24"/>
              </w:rPr>
              <w:t>年版）》（推动长江经济带发展领导小组办公室文件 长江办</w:t>
            </w:r>
            <w:r>
              <w:rPr>
                <w:sz w:val="24"/>
              </w:rPr>
              <w:t xml:space="preserve">[2022]7 </w:t>
            </w:r>
            <w:r>
              <w:rPr>
                <w:rFonts w:hint="eastAsia"/>
                <w:color w:val="0000FF"/>
                <w:sz w:val="24"/>
              </w:rPr>
              <w:t>号）</w:t>
            </w:r>
            <w:r>
              <w:rPr>
                <w:rFonts w:hint="eastAsia"/>
                <w:color w:val="0000FF"/>
                <w:sz w:val="24"/>
                <w:lang w:eastAsia="zh-CN"/>
              </w:rPr>
              <w:t>及江苏省设施细则</w:t>
            </w:r>
            <w:r>
              <w:rPr>
                <w:rFonts w:hint="eastAsia"/>
                <w:sz w:val="24"/>
              </w:rPr>
              <w:t>中</w:t>
            </w:r>
            <w:r>
              <w:rPr>
                <w:sz w:val="24"/>
              </w:rPr>
              <w:t>“</w:t>
            </w:r>
            <w:r>
              <w:rPr>
                <w:rFonts w:hint="eastAsia"/>
                <w:sz w:val="24"/>
              </w:rPr>
              <w:t>禁止类</w:t>
            </w:r>
            <w:r>
              <w:rPr>
                <w:sz w:val="24"/>
              </w:rPr>
              <w:t>”</w:t>
            </w:r>
            <w:r>
              <w:rPr>
                <w:rFonts w:hint="eastAsia"/>
                <w:sz w:val="24"/>
              </w:rPr>
              <w:t>项目。</w:t>
            </w:r>
          </w:p>
          <w:p>
            <w:pPr>
              <w:pStyle w:val="2"/>
              <w:wordWrap w:val="0"/>
              <w:spacing w:after="0" w:line="360" w:lineRule="auto"/>
              <w:ind w:firstLine="480" w:firstLineChars="200"/>
              <w:rPr>
                <w:sz w:val="24"/>
              </w:rPr>
            </w:pPr>
            <w:r>
              <w:rPr>
                <w:rFonts w:hint="eastAsia"/>
                <w:sz w:val="24"/>
              </w:rPr>
              <w:t>⑤ 本项目不</w:t>
            </w:r>
            <w:r>
              <w:rPr>
                <w:rFonts w:hint="eastAsia"/>
                <w:color w:val="0000FF"/>
                <w:sz w:val="24"/>
              </w:rPr>
              <w:t>属于《外商投资产业指导目录》（201</w:t>
            </w:r>
            <w:r>
              <w:rPr>
                <w:rFonts w:hint="eastAsia"/>
                <w:color w:val="0000FF"/>
                <w:sz w:val="24"/>
                <w:lang w:val="en-US" w:eastAsia="zh-CN"/>
              </w:rPr>
              <w:t>9</w:t>
            </w:r>
            <w:r>
              <w:rPr>
                <w:rFonts w:hint="eastAsia"/>
                <w:color w:val="0000FF"/>
                <w:sz w:val="24"/>
              </w:rPr>
              <w:t>年修订版）中</w:t>
            </w:r>
            <w:r>
              <w:rPr>
                <w:rFonts w:hint="eastAsia"/>
                <w:sz w:val="24"/>
              </w:rPr>
              <w:t>“限制类”及“禁止类”项目。</w:t>
            </w:r>
          </w:p>
          <w:p>
            <w:pPr>
              <w:pStyle w:val="2"/>
              <w:wordWrap w:val="0"/>
              <w:spacing w:after="0" w:line="360" w:lineRule="auto"/>
              <w:ind w:firstLine="480" w:firstLineChars="200"/>
              <w:rPr>
                <w:sz w:val="24"/>
              </w:rPr>
            </w:pPr>
            <w:r>
              <w:rPr>
                <w:rFonts w:hint="eastAsia"/>
                <w:sz w:val="24"/>
              </w:rPr>
              <w:t>⑥本项目已获得江苏金坛经济开发区经济发展局会出具的《江苏省投资项目备案证》（坛开经发备〔</w:t>
            </w:r>
            <w:r>
              <w:rPr>
                <w:sz w:val="24"/>
              </w:rPr>
              <w:t>2022</w:t>
            </w:r>
            <w:r>
              <w:rPr>
                <w:rFonts w:hint="eastAsia"/>
                <w:sz w:val="24"/>
              </w:rPr>
              <w:t>〕142</w:t>
            </w:r>
            <w:r>
              <w:rPr>
                <w:sz w:val="24"/>
              </w:rPr>
              <w:t xml:space="preserve"> </w:t>
            </w:r>
            <w:r>
              <w:rPr>
                <w:rFonts w:hint="eastAsia"/>
                <w:sz w:val="24"/>
              </w:rPr>
              <w:t xml:space="preserve">号）。 </w:t>
            </w:r>
          </w:p>
          <w:p>
            <w:pPr>
              <w:numPr>
                <w:ilvl w:val="0"/>
                <w:numId w:val="2"/>
              </w:numPr>
              <w:adjustRightInd w:val="0"/>
              <w:snapToGrid w:val="0"/>
              <w:rPr>
                <w:b/>
                <w:bCs/>
                <w:sz w:val="24"/>
              </w:rPr>
            </w:pPr>
            <w:r>
              <w:rPr>
                <w:rFonts w:hint="eastAsia"/>
                <w:b/>
                <w:bCs/>
                <w:sz w:val="24"/>
              </w:rPr>
              <w:t>规划环境影响评价</w:t>
            </w:r>
            <w:r>
              <w:rPr>
                <w:b/>
                <w:bCs/>
                <w:sz w:val="24"/>
              </w:rPr>
              <w:t>相符性</w:t>
            </w:r>
          </w:p>
          <w:p>
            <w:pPr>
              <w:pStyle w:val="2"/>
              <w:wordWrap w:val="0"/>
              <w:spacing w:after="0" w:line="360" w:lineRule="auto"/>
              <w:ind w:firstLine="480" w:firstLineChars="200"/>
              <w:rPr>
                <w:sz w:val="24"/>
              </w:rPr>
            </w:pPr>
            <w:r>
              <w:rPr>
                <w:sz w:val="24"/>
              </w:rPr>
              <w:t xml:space="preserve">2014 </w:t>
            </w:r>
            <w:r>
              <w:rPr>
                <w:rFonts w:hint="eastAsia"/>
                <w:sz w:val="24"/>
              </w:rPr>
              <w:t xml:space="preserve">年金坛开发区管委会组织江苏常环环境科技有限公司编制了《金坛经济开发区发展规划环境影响报告书》，并于 </w:t>
            </w:r>
            <w:r>
              <w:rPr>
                <w:sz w:val="24"/>
              </w:rPr>
              <w:t xml:space="preserve">2015 </w:t>
            </w:r>
            <w:r>
              <w:rPr>
                <w:rFonts w:hint="eastAsia"/>
                <w:sz w:val="24"/>
              </w:rPr>
              <w:t xml:space="preserve">年 </w:t>
            </w:r>
            <w:r>
              <w:rPr>
                <w:sz w:val="24"/>
              </w:rPr>
              <w:t xml:space="preserve">5 </w:t>
            </w:r>
            <w:r>
              <w:rPr>
                <w:rFonts w:hint="eastAsia"/>
                <w:sz w:val="24"/>
              </w:rPr>
              <w:t xml:space="preserve">月 </w:t>
            </w:r>
            <w:r>
              <w:rPr>
                <w:sz w:val="24"/>
              </w:rPr>
              <w:t xml:space="preserve">25 </w:t>
            </w:r>
            <w:r>
              <w:rPr>
                <w:rFonts w:hint="eastAsia"/>
                <w:sz w:val="24"/>
              </w:rPr>
              <w:t>日获得省环保厅《关于金坛经济开发区发展规划环境影响评价审查意见》（苏环审</w:t>
            </w:r>
            <w:r>
              <w:rPr>
                <w:sz w:val="24"/>
              </w:rPr>
              <w:t xml:space="preserve">[2015]52 </w:t>
            </w:r>
            <w:r>
              <w:rPr>
                <w:rFonts w:hint="eastAsia"/>
                <w:sz w:val="24"/>
              </w:rPr>
              <w:t>号），经过 5年的发展，至 2020 年，开发区现状情况发生了较大的改变，开发区管理范围有所调整，主导产业发生明显变化，开发区于 2020 年启动编制新一轮规划。对照分析情况如下表所示：</w:t>
            </w:r>
          </w:p>
          <w:p>
            <w:pPr>
              <w:pStyle w:val="2"/>
              <w:spacing w:after="0"/>
              <w:jc w:val="center"/>
              <w:rPr>
                <w:b/>
                <w:bCs/>
                <w:sz w:val="24"/>
              </w:rPr>
            </w:pPr>
            <w:r>
              <w:rPr>
                <w:rFonts w:hint="eastAsia"/>
                <w:b/>
                <w:bCs/>
                <w:sz w:val="24"/>
              </w:rPr>
              <w:t>表1-1与《金坛经济开发区发展规划环境影响报告书》对照分析情况</w:t>
            </w:r>
          </w:p>
          <w:tbl>
            <w:tblPr>
              <w:tblStyle w:val="9"/>
              <w:tblW w:w="857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3412"/>
              <w:gridCol w:w="2144"/>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Borders>
                    <w:top w:val="single" w:color="auto" w:sz="12" w:space="0"/>
                    <w:left w:val="nil"/>
                  </w:tcBorders>
                  <w:vAlign w:val="center"/>
                </w:tcPr>
                <w:p>
                  <w:pPr>
                    <w:jc w:val="center"/>
                    <w:rPr>
                      <w:b/>
                      <w:bCs/>
                      <w:szCs w:val="21"/>
                    </w:rPr>
                  </w:pPr>
                  <w:r>
                    <w:rPr>
                      <w:rFonts w:hint="eastAsia"/>
                      <w:b/>
                      <w:bCs/>
                      <w:szCs w:val="21"/>
                    </w:rPr>
                    <w:t>序号</w:t>
                  </w:r>
                </w:p>
              </w:tc>
              <w:tc>
                <w:tcPr>
                  <w:tcW w:w="3412" w:type="dxa"/>
                  <w:tcBorders>
                    <w:top w:val="single" w:color="auto" w:sz="12" w:space="0"/>
                  </w:tcBorders>
                  <w:vAlign w:val="center"/>
                </w:tcPr>
                <w:p>
                  <w:pPr>
                    <w:jc w:val="center"/>
                    <w:rPr>
                      <w:b/>
                      <w:bCs/>
                      <w:szCs w:val="21"/>
                    </w:rPr>
                  </w:pPr>
                  <w:r>
                    <w:rPr>
                      <w:rFonts w:hint="eastAsia"/>
                      <w:b/>
                      <w:bCs/>
                      <w:szCs w:val="21"/>
                    </w:rPr>
                    <w:t>发展规划</w:t>
                  </w:r>
                </w:p>
              </w:tc>
              <w:tc>
                <w:tcPr>
                  <w:tcW w:w="2144" w:type="dxa"/>
                  <w:tcBorders>
                    <w:top w:val="single" w:color="auto" w:sz="12" w:space="0"/>
                  </w:tcBorders>
                  <w:vAlign w:val="center"/>
                </w:tcPr>
                <w:p>
                  <w:pPr>
                    <w:jc w:val="center"/>
                    <w:rPr>
                      <w:b/>
                      <w:bCs/>
                      <w:szCs w:val="21"/>
                    </w:rPr>
                  </w:pPr>
                  <w:r>
                    <w:rPr>
                      <w:rFonts w:hint="eastAsia"/>
                      <w:b/>
                      <w:bCs/>
                      <w:szCs w:val="21"/>
                    </w:rPr>
                    <w:t>本项目相符性分析</w:t>
                  </w:r>
                </w:p>
              </w:tc>
              <w:tc>
                <w:tcPr>
                  <w:tcW w:w="2144" w:type="dxa"/>
                  <w:tcBorders>
                    <w:top w:val="single" w:color="auto" w:sz="12" w:space="0"/>
                    <w:right w:val="nil"/>
                  </w:tcBorders>
                  <w:vAlign w:val="center"/>
                </w:tcPr>
                <w:p>
                  <w:pPr>
                    <w:jc w:val="center"/>
                    <w:rPr>
                      <w:b/>
                      <w:bCs/>
                      <w:szCs w:val="21"/>
                    </w:rPr>
                  </w:pPr>
                  <w:r>
                    <w:rPr>
                      <w:rFonts w:hint="eastAsia"/>
                      <w:b/>
                      <w:bCs/>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Borders>
                    <w:left w:val="nil"/>
                  </w:tcBorders>
                  <w:vAlign w:val="center"/>
                </w:tcPr>
                <w:p>
                  <w:pPr>
                    <w:jc w:val="center"/>
                    <w:rPr>
                      <w:b/>
                      <w:bCs/>
                      <w:szCs w:val="21"/>
                    </w:rPr>
                  </w:pPr>
                  <w:r>
                    <w:rPr>
                      <w:rFonts w:hint="eastAsia"/>
                      <w:b/>
                      <w:bCs/>
                      <w:szCs w:val="21"/>
                    </w:rPr>
                    <w:t>1</w:t>
                  </w:r>
                </w:p>
              </w:tc>
              <w:tc>
                <w:tcPr>
                  <w:tcW w:w="3412" w:type="dxa"/>
                  <w:vAlign w:val="center"/>
                </w:tcPr>
                <w:p>
                  <w:pPr>
                    <w:widowControl/>
                    <w:jc w:val="center"/>
                    <w:rPr>
                      <w:color w:val="000000"/>
                      <w:kern w:val="0"/>
                      <w:szCs w:val="21"/>
                    </w:rPr>
                  </w:pPr>
                  <w:r>
                    <w:rPr>
                      <w:color w:val="000000"/>
                      <w:kern w:val="0"/>
                      <w:szCs w:val="21"/>
                    </w:rPr>
                    <w:t>规划范围为东至东环路，南至规划沿江城际铁路，西至丹金溧漕河-华阳中路-下塘河-华城路-金湖路，北至北山路，总面积 81km</w:t>
                  </w:r>
                  <w:r>
                    <w:rPr>
                      <w:color w:val="000000"/>
                      <w:kern w:val="0"/>
                      <w:szCs w:val="21"/>
                      <w:vertAlign w:val="superscript"/>
                    </w:rPr>
                    <w:t>2</w:t>
                  </w:r>
                  <w:r>
                    <w:rPr>
                      <w:color w:val="000000"/>
                      <w:kern w:val="0"/>
                      <w:szCs w:val="21"/>
                    </w:rPr>
                    <w:t>。规划时限：2020-2035 年。</w:t>
                  </w:r>
                </w:p>
              </w:tc>
              <w:tc>
                <w:tcPr>
                  <w:tcW w:w="2144" w:type="dxa"/>
                  <w:vAlign w:val="center"/>
                </w:tcPr>
                <w:p>
                  <w:pPr>
                    <w:widowControl/>
                    <w:jc w:val="center"/>
                    <w:rPr>
                      <w:color w:val="000000"/>
                      <w:kern w:val="0"/>
                      <w:szCs w:val="21"/>
                    </w:rPr>
                  </w:pPr>
                  <w:r>
                    <w:rPr>
                      <w:rFonts w:hint="eastAsia"/>
                      <w:kern w:val="0"/>
                      <w:szCs w:val="21"/>
                    </w:rPr>
                    <w:t>本项目位于金坛经济开发区汇福路5号，位于金坛经济开发区内，且根据 《金坛经济开发区土地利用规划图》 本项目所在地块规划为二类工业用地。</w:t>
                  </w:r>
                </w:p>
              </w:tc>
              <w:tc>
                <w:tcPr>
                  <w:tcW w:w="2144" w:type="dxa"/>
                  <w:tcBorders>
                    <w:right w:val="nil"/>
                  </w:tcBorders>
                  <w:vAlign w:val="center"/>
                </w:tcPr>
                <w:p>
                  <w:pPr>
                    <w:jc w:val="center"/>
                    <w:rPr>
                      <w:b/>
                      <w:bCs/>
                      <w:szCs w:val="21"/>
                    </w:rPr>
                  </w:pPr>
                  <w:r>
                    <w:rPr>
                      <w:rFonts w:hint="eastAsia"/>
                      <w:b/>
                      <w:bCs/>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Borders>
                    <w:left w:val="nil"/>
                    <w:bottom w:val="single" w:color="auto" w:sz="12" w:space="0"/>
                  </w:tcBorders>
                  <w:vAlign w:val="center"/>
                </w:tcPr>
                <w:p>
                  <w:pPr>
                    <w:jc w:val="center"/>
                    <w:rPr>
                      <w:b/>
                      <w:bCs/>
                      <w:szCs w:val="21"/>
                    </w:rPr>
                  </w:pPr>
                  <w:r>
                    <w:rPr>
                      <w:rFonts w:hint="eastAsia"/>
                      <w:b/>
                      <w:bCs/>
                      <w:szCs w:val="21"/>
                    </w:rPr>
                    <w:t>2</w:t>
                  </w:r>
                </w:p>
              </w:tc>
              <w:tc>
                <w:tcPr>
                  <w:tcW w:w="3412" w:type="dxa"/>
                  <w:tcBorders>
                    <w:bottom w:val="single" w:color="auto" w:sz="12" w:space="0"/>
                  </w:tcBorders>
                  <w:vAlign w:val="center"/>
                </w:tcPr>
                <w:p>
                  <w:pPr>
                    <w:widowControl/>
                    <w:jc w:val="center"/>
                    <w:rPr>
                      <w:color w:val="000000"/>
                      <w:kern w:val="0"/>
                      <w:szCs w:val="21"/>
                    </w:rPr>
                  </w:pPr>
                  <w:r>
                    <w:rPr>
                      <w:rFonts w:hint="eastAsia"/>
                      <w:color w:val="000000"/>
                      <w:kern w:val="0"/>
                      <w:szCs w:val="21"/>
                    </w:rPr>
                    <w:t>产业定位：构建“3+3+3”的产业体系， 强基固本升级3大主导产业：光伏新能源、 化工新材料、纺织服装（印染）；培育先导激活3大新兴产业： 新能源汽车、现代通讯技术、生物医药；强化服务培育 3 大现代服务业： 科技服务、现代物流、商务商贸。</w:t>
                  </w:r>
                </w:p>
              </w:tc>
              <w:tc>
                <w:tcPr>
                  <w:tcW w:w="2144" w:type="dxa"/>
                  <w:tcBorders>
                    <w:bottom w:val="single" w:color="auto" w:sz="12" w:space="0"/>
                  </w:tcBorders>
                  <w:vAlign w:val="center"/>
                </w:tcPr>
                <w:p>
                  <w:pPr>
                    <w:widowControl/>
                    <w:jc w:val="center"/>
                    <w:rPr>
                      <w:color w:val="000000"/>
                      <w:kern w:val="0"/>
                      <w:szCs w:val="21"/>
                    </w:rPr>
                  </w:pPr>
                  <w:r>
                    <w:rPr>
                      <w:rFonts w:hint="eastAsia"/>
                      <w:color w:val="0000FF"/>
                      <w:kern w:val="0"/>
                      <w:szCs w:val="21"/>
                      <w:lang w:eastAsia="zh-CN"/>
                    </w:rPr>
                    <w:t>本项目为已有的塑料制品加工企业的搬迁</w:t>
                  </w:r>
                  <w:r>
                    <w:rPr>
                      <w:rFonts w:hint="eastAsia"/>
                      <w:color w:val="0000FF"/>
                      <w:kern w:val="0"/>
                      <w:szCs w:val="21"/>
                    </w:rPr>
                    <w:t>，从金坛经济开发区河山环路 36 号搬迁至汇福路5号</w:t>
                  </w:r>
                  <w:r>
                    <w:rPr>
                      <w:rFonts w:hint="eastAsia"/>
                      <w:color w:val="0000FF"/>
                      <w:kern w:val="0"/>
                      <w:szCs w:val="21"/>
                      <w:lang w:eastAsia="zh-CN"/>
                    </w:rPr>
                    <w:t>。主要为园区内的企业配套服务，</w:t>
                  </w:r>
                  <w:r>
                    <w:rPr>
                      <w:rFonts w:hint="eastAsia"/>
                      <w:color w:val="0000FF"/>
                      <w:kern w:val="0"/>
                      <w:szCs w:val="21"/>
                    </w:rPr>
                    <w:t>属于主要产业的配套供应企业，因此不违背金坛经济开发区的产业定位。</w:t>
                  </w:r>
                </w:p>
              </w:tc>
              <w:tc>
                <w:tcPr>
                  <w:tcW w:w="2144" w:type="dxa"/>
                  <w:tcBorders>
                    <w:bottom w:val="single" w:color="auto" w:sz="12" w:space="0"/>
                    <w:right w:val="nil"/>
                  </w:tcBorders>
                  <w:vAlign w:val="center"/>
                </w:tcPr>
                <w:p>
                  <w:pPr>
                    <w:jc w:val="center"/>
                    <w:rPr>
                      <w:b/>
                      <w:bCs/>
                      <w:szCs w:val="21"/>
                    </w:rPr>
                  </w:pPr>
                  <w:r>
                    <w:rPr>
                      <w:rFonts w:hint="eastAsia"/>
                      <w:b/>
                      <w:bCs/>
                      <w:szCs w:val="21"/>
                    </w:rPr>
                    <w:t>相符</w:t>
                  </w:r>
                </w:p>
              </w:tc>
            </w:tr>
          </w:tbl>
          <w:p>
            <w:pPr>
              <w:rPr>
                <w:b/>
                <w:bCs/>
                <w:szCs w:val="21"/>
              </w:rPr>
            </w:pPr>
          </w:p>
          <w:p>
            <w:pPr>
              <w:widowControl/>
              <w:spacing w:line="360" w:lineRule="auto"/>
              <w:ind w:firstLine="480" w:firstLineChars="200"/>
              <w:jc w:val="left"/>
              <w:rPr>
                <w:sz w:val="24"/>
              </w:rPr>
            </w:pPr>
            <w:r>
              <w:rPr>
                <w:rFonts w:hint="eastAsia"/>
                <w:sz w:val="24"/>
              </w:rPr>
              <w:t>综上，本项目位于金坛经济开发区汇福路5号，项目所在地土地利用规划为工业用地，不违背相关发展定位，符合区域产业定位。</w:t>
            </w:r>
          </w:p>
          <w:p>
            <w:pPr>
              <w:spacing w:line="360" w:lineRule="auto"/>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20" w:hRule="atLeast"/>
          <w:jc w:val="center"/>
        </w:trPr>
        <w:tc>
          <w:tcPr>
            <w:tcW w:w="457" w:type="dxa"/>
            <w:tcBorders>
              <w:tl2br w:val="nil"/>
              <w:tr2bl w:val="nil"/>
            </w:tcBorders>
            <w:vAlign w:val="center"/>
          </w:tcPr>
          <w:p>
            <w:pPr>
              <w:tabs>
                <w:tab w:val="left" w:pos="2019"/>
              </w:tabs>
              <w:jc w:val="center"/>
            </w:pPr>
            <w:r>
              <w:rPr>
                <w:b/>
                <w:bCs/>
                <w:kern w:val="0"/>
                <w:sz w:val="24"/>
              </w:rPr>
              <w:t>其他符合性分析</w:t>
            </w:r>
          </w:p>
        </w:tc>
        <w:tc>
          <w:tcPr>
            <w:tcW w:w="9072" w:type="dxa"/>
            <w:gridSpan w:val="5"/>
            <w:tcBorders>
              <w:tl2br w:val="nil"/>
              <w:tr2bl w:val="nil"/>
            </w:tcBorders>
          </w:tcPr>
          <w:p>
            <w:pPr>
              <w:widowControl/>
              <w:spacing w:line="360" w:lineRule="auto"/>
              <w:ind w:firstLine="480" w:firstLineChars="200"/>
              <w:jc w:val="left"/>
              <w:rPr>
                <w:sz w:val="24"/>
              </w:rPr>
            </w:pPr>
            <w:r>
              <w:rPr>
                <w:rFonts w:hint="eastAsia"/>
                <w:b/>
                <w:bCs/>
                <w:sz w:val="24"/>
              </w:rPr>
              <w:t>1、</w:t>
            </w:r>
            <w:r>
              <w:rPr>
                <w:b/>
                <w:bCs/>
                <w:color w:val="000000"/>
                <w:kern w:val="0"/>
                <w:sz w:val="24"/>
              </w:rPr>
              <w:t>“</w:t>
            </w:r>
            <w:r>
              <w:rPr>
                <w:rFonts w:hint="eastAsia" w:ascii="宋体" w:hAnsi="宋体" w:cs="宋体"/>
                <w:b/>
                <w:bCs/>
                <w:color w:val="000000"/>
                <w:kern w:val="0"/>
                <w:sz w:val="24"/>
              </w:rPr>
              <w:t>三线一单</w:t>
            </w:r>
            <w:r>
              <w:rPr>
                <w:b/>
                <w:bCs/>
                <w:color w:val="000000"/>
                <w:kern w:val="0"/>
                <w:sz w:val="24"/>
              </w:rPr>
              <w:t>”</w:t>
            </w:r>
            <w:r>
              <w:rPr>
                <w:rFonts w:hint="eastAsia" w:ascii="宋体" w:hAnsi="宋体" w:cs="宋体"/>
                <w:b/>
                <w:bCs/>
                <w:color w:val="000000"/>
                <w:kern w:val="0"/>
                <w:sz w:val="24"/>
              </w:rPr>
              <w:t>相符性分析</w:t>
            </w:r>
          </w:p>
          <w:p>
            <w:pPr>
              <w:widowControl/>
              <w:spacing w:line="360" w:lineRule="auto"/>
              <w:ind w:firstLine="480" w:firstLineChars="200"/>
              <w:jc w:val="left"/>
              <w:rPr>
                <w:color w:val="000000"/>
                <w:kern w:val="0"/>
                <w:sz w:val="24"/>
              </w:rPr>
            </w:pPr>
            <w:r>
              <w:rPr>
                <w:rFonts w:hint="eastAsia"/>
                <w:color w:val="000000"/>
                <w:kern w:val="0"/>
                <w:sz w:val="24"/>
              </w:rPr>
              <w:t>（1）</w:t>
            </w:r>
            <w:r>
              <w:rPr>
                <w:color w:val="000000"/>
                <w:kern w:val="0"/>
                <w:sz w:val="24"/>
              </w:rPr>
              <w:t>根据环环评[2016]150 号文《关于以改善环境质量为核心加强环境影响评价管理的通知》</w:t>
            </w:r>
            <w:r>
              <w:rPr>
                <w:rFonts w:hint="eastAsia"/>
                <w:color w:val="000000"/>
                <w:kern w:val="0"/>
                <w:sz w:val="24"/>
              </w:rPr>
              <w:t>对本项目进行“三线一单”相符性分析</w:t>
            </w:r>
          </w:p>
          <w:p>
            <w:pPr>
              <w:pStyle w:val="11"/>
              <w:widowControl w:val="0"/>
              <w:spacing w:line="240" w:lineRule="auto"/>
              <w:ind w:firstLine="0" w:firstLineChars="0"/>
              <w:jc w:val="center"/>
              <w:rPr>
                <w:rFonts w:ascii="Times New Roman" w:hAnsi="Times New Roman" w:eastAsia="宋体"/>
                <w:b/>
                <w:bCs/>
              </w:rPr>
            </w:pPr>
            <w:r>
              <w:rPr>
                <w:rFonts w:ascii="Times New Roman" w:hAnsi="Times New Roman" w:eastAsia="宋体"/>
                <w:b/>
                <w:bCs/>
              </w:rPr>
              <w:t>表1-</w:t>
            </w:r>
            <w:r>
              <w:rPr>
                <w:rFonts w:hint="eastAsia" w:ascii="Times New Roman" w:hAnsi="Times New Roman" w:eastAsia="宋体"/>
                <w:b/>
                <w:bCs/>
              </w:rPr>
              <w:t>2 项目地附近生态空间管控区域</w:t>
            </w:r>
          </w:p>
          <w:tbl>
            <w:tblPr>
              <w:tblStyle w:val="8"/>
              <w:tblW w:w="8805"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14"/>
              <w:gridCol w:w="913"/>
              <w:gridCol w:w="6053"/>
              <w:gridCol w:w="82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9" w:hRule="atLeast"/>
              </w:trPr>
              <w:tc>
                <w:tcPr>
                  <w:tcW w:w="1014" w:type="dxa"/>
                  <w:tcBorders>
                    <w:left w:val="nil"/>
                    <w:bottom w:val="single" w:color="000000" w:sz="4" w:space="0"/>
                    <w:right w:val="single" w:color="000000" w:sz="4" w:space="0"/>
                  </w:tcBorders>
                  <w:vAlign w:val="center"/>
                </w:tcPr>
                <w:p>
                  <w:pPr>
                    <w:pStyle w:val="12"/>
                    <w:rPr>
                      <w:rFonts w:ascii="Times New Roman" w:hAnsi="Times New Roman" w:eastAsia="宋体"/>
                      <w:b/>
                      <w:bCs/>
                      <w:sz w:val="21"/>
                      <w:szCs w:val="21"/>
                    </w:rPr>
                  </w:pPr>
                  <w:r>
                    <w:rPr>
                      <w:rFonts w:hint="eastAsia" w:ascii="Times New Roman" w:hAnsi="Times New Roman" w:eastAsia="宋体"/>
                      <w:b/>
                      <w:bCs/>
                      <w:sz w:val="21"/>
                      <w:szCs w:val="21"/>
                    </w:rPr>
                    <w:t>序号</w:t>
                  </w:r>
                </w:p>
              </w:tc>
              <w:tc>
                <w:tcPr>
                  <w:tcW w:w="913" w:type="dxa"/>
                  <w:tcBorders>
                    <w:left w:val="single" w:color="000000" w:sz="4" w:space="0"/>
                    <w:bottom w:val="single" w:color="000000" w:sz="4" w:space="0"/>
                    <w:right w:val="single" w:color="000000" w:sz="4" w:space="0"/>
                  </w:tcBorders>
                  <w:vAlign w:val="center"/>
                </w:tcPr>
                <w:p>
                  <w:pPr>
                    <w:pStyle w:val="12"/>
                    <w:rPr>
                      <w:rFonts w:ascii="Times New Roman" w:hAnsi="Times New Roman" w:eastAsia="宋体"/>
                      <w:b/>
                      <w:bCs/>
                      <w:sz w:val="21"/>
                      <w:szCs w:val="21"/>
                    </w:rPr>
                  </w:pPr>
                  <w:r>
                    <w:rPr>
                      <w:rFonts w:hint="eastAsia" w:ascii="Times New Roman" w:hAnsi="Times New Roman" w:eastAsia="宋体"/>
                      <w:b/>
                      <w:bCs/>
                      <w:sz w:val="21"/>
                      <w:szCs w:val="21"/>
                    </w:rPr>
                    <w:t>类型</w:t>
                  </w:r>
                </w:p>
              </w:tc>
              <w:tc>
                <w:tcPr>
                  <w:tcW w:w="6053" w:type="dxa"/>
                  <w:tcBorders>
                    <w:left w:val="single" w:color="000000" w:sz="4" w:space="0"/>
                    <w:bottom w:val="single" w:color="000000" w:sz="4" w:space="0"/>
                    <w:right w:val="single" w:color="000000" w:sz="4" w:space="0"/>
                  </w:tcBorders>
                  <w:vAlign w:val="center"/>
                </w:tcPr>
                <w:p>
                  <w:pPr>
                    <w:pStyle w:val="12"/>
                    <w:rPr>
                      <w:rFonts w:ascii="Times New Roman" w:hAnsi="Times New Roman" w:eastAsia="宋体"/>
                      <w:b/>
                      <w:bCs/>
                      <w:sz w:val="21"/>
                      <w:szCs w:val="21"/>
                    </w:rPr>
                  </w:pPr>
                  <w:r>
                    <w:rPr>
                      <w:rFonts w:hint="eastAsia" w:ascii="Times New Roman" w:hAnsi="Times New Roman" w:eastAsia="宋体"/>
                      <w:b/>
                      <w:bCs/>
                      <w:sz w:val="21"/>
                      <w:szCs w:val="21"/>
                    </w:rPr>
                    <w:t>对照分析</w:t>
                  </w:r>
                </w:p>
              </w:tc>
              <w:tc>
                <w:tcPr>
                  <w:tcW w:w="825" w:type="dxa"/>
                  <w:tcBorders>
                    <w:left w:val="single" w:color="000000" w:sz="4" w:space="0"/>
                    <w:bottom w:val="single" w:color="000000" w:sz="4" w:space="0"/>
                    <w:right w:val="nil"/>
                  </w:tcBorders>
                  <w:vAlign w:val="center"/>
                </w:tcPr>
                <w:p>
                  <w:pPr>
                    <w:pStyle w:val="12"/>
                    <w:rPr>
                      <w:rFonts w:ascii="Times New Roman" w:hAnsi="Times New Roman" w:eastAsia="宋体"/>
                      <w:b/>
                      <w:bCs/>
                      <w:sz w:val="21"/>
                      <w:szCs w:val="21"/>
                    </w:rPr>
                  </w:pPr>
                  <w:r>
                    <w:rPr>
                      <w:rFonts w:hint="eastAsia" w:ascii="Times New Roman" w:hAnsi="Times New Roman" w:eastAsia="宋体"/>
                      <w:b/>
                      <w:bCs/>
                      <w:sz w:val="21"/>
                      <w:szCs w:val="21"/>
                    </w:rPr>
                    <w:t>相符性</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04" w:hRule="atLeast"/>
              </w:trPr>
              <w:tc>
                <w:tcPr>
                  <w:tcW w:w="1014" w:type="dxa"/>
                  <w:tcBorders>
                    <w:top w:val="single" w:color="000000" w:sz="4" w:space="0"/>
                    <w:left w:val="nil"/>
                    <w:bottom w:val="single" w:color="000000" w:sz="4" w:space="0"/>
                    <w:right w:val="single" w:color="000000" w:sz="4" w:space="0"/>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1</w:t>
                  </w:r>
                </w:p>
              </w:tc>
              <w:tc>
                <w:tcPr>
                  <w:tcW w:w="913" w:type="dxa"/>
                  <w:tcBorders>
                    <w:top w:val="single" w:color="000000" w:sz="4" w:space="0"/>
                    <w:left w:val="single" w:color="000000" w:sz="4" w:space="0"/>
                    <w:bottom w:val="single" w:color="000000" w:sz="4" w:space="0"/>
                    <w:right w:val="single" w:color="000000" w:sz="4" w:space="0"/>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生态红线</w:t>
                  </w:r>
                </w:p>
              </w:tc>
              <w:tc>
                <w:tcPr>
                  <w:tcW w:w="6053" w:type="dxa"/>
                  <w:tcBorders>
                    <w:top w:val="single" w:color="000000" w:sz="4" w:space="0"/>
                    <w:left w:val="single" w:color="000000" w:sz="4" w:space="0"/>
                    <w:bottom w:val="single" w:color="000000" w:sz="4" w:space="0"/>
                    <w:right w:val="single" w:color="000000" w:sz="4" w:space="0"/>
                  </w:tcBorders>
                  <w:vAlign w:val="center"/>
                </w:tcPr>
                <w:p>
                  <w:pPr>
                    <w:pStyle w:val="12"/>
                    <w:wordWrap w:val="0"/>
                    <w:rPr>
                      <w:rFonts w:ascii="Times New Roman" w:hAnsi="Times New Roman" w:eastAsia="宋体"/>
                      <w:sz w:val="21"/>
                      <w:szCs w:val="21"/>
                    </w:rPr>
                  </w:pPr>
                  <w:r>
                    <w:rPr>
                      <w:rFonts w:hint="eastAsia" w:ascii="Times New Roman" w:hAnsi="Times New Roman" w:eastAsia="宋体"/>
                      <w:sz w:val="21"/>
                      <w:szCs w:val="21"/>
                    </w:rPr>
                    <w:t>对照《省政府关于印发江苏省国家级生态保护红线规划的通知》（苏政发﹝2018 ﹞74 号）、《省政府关于印发江苏省生态空间管控区域规划的通知》（苏政发 ﹝2020﹞1 号）、《江苏省“三线一单”生态环境分区管控方案》（苏政发﹝2020 ﹞49 号）及《关于印发常州市“三线一单”生态环境分区管控实施方案的通知》（常环﹝2020﹞95 号），本项目位于金坛经济开发区汇福路5号，距离最近生态空间管控区钱资荡重要湿地7.2km，不在国家级生态保护红线范围和生态空间管控区范围内，因此，本项目选址与《江苏省生态空间管控区域规划》相符。</w:t>
                  </w:r>
                </w:p>
              </w:tc>
              <w:tc>
                <w:tcPr>
                  <w:tcW w:w="825" w:type="dxa"/>
                  <w:tcBorders>
                    <w:top w:val="single" w:color="000000" w:sz="4" w:space="0"/>
                    <w:left w:val="single" w:color="000000" w:sz="4" w:space="0"/>
                    <w:bottom w:val="single" w:color="000000" w:sz="4" w:space="0"/>
                    <w:right w:val="nil"/>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相符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04" w:hRule="atLeast"/>
              </w:trPr>
              <w:tc>
                <w:tcPr>
                  <w:tcW w:w="1014" w:type="dxa"/>
                  <w:tcBorders>
                    <w:top w:val="single" w:color="000000" w:sz="4" w:space="0"/>
                    <w:left w:val="nil"/>
                    <w:bottom w:val="single" w:color="000000" w:sz="4" w:space="0"/>
                    <w:right w:val="single" w:color="000000" w:sz="4" w:space="0"/>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2</w:t>
                  </w:r>
                </w:p>
              </w:tc>
              <w:tc>
                <w:tcPr>
                  <w:tcW w:w="913" w:type="dxa"/>
                  <w:tcBorders>
                    <w:top w:val="single" w:color="000000" w:sz="4" w:space="0"/>
                    <w:left w:val="single" w:color="000000" w:sz="4" w:space="0"/>
                    <w:bottom w:val="single" w:color="000000" w:sz="4" w:space="0"/>
                    <w:right w:val="single" w:color="000000" w:sz="4" w:space="0"/>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环境质量底线</w:t>
                  </w:r>
                </w:p>
              </w:tc>
              <w:tc>
                <w:tcPr>
                  <w:tcW w:w="6053" w:type="dxa"/>
                  <w:tcBorders>
                    <w:top w:val="single" w:color="000000" w:sz="4" w:space="0"/>
                    <w:left w:val="single" w:color="000000" w:sz="4" w:space="0"/>
                    <w:bottom w:val="single" w:color="000000" w:sz="4" w:space="0"/>
                    <w:right w:val="single" w:color="000000" w:sz="4" w:space="0"/>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根据现状监测结果可知，项目所在区域声环境质量能够满足相应功能区划要求； 根据《2021 年常州市生态环境状况公报》可知，项目所在地大气环境为不达标区。本项目产生的污染物为非甲烷总烃及苯乙烯，经治理后，均能实现达标排放，项目所在地满足环境质量底线要求，对周边环境影响较小。</w:t>
                  </w:r>
                </w:p>
              </w:tc>
              <w:tc>
                <w:tcPr>
                  <w:tcW w:w="825" w:type="dxa"/>
                  <w:tcBorders>
                    <w:top w:val="single" w:color="000000" w:sz="4" w:space="0"/>
                    <w:left w:val="single" w:color="000000" w:sz="4" w:space="0"/>
                    <w:bottom w:val="single" w:color="000000" w:sz="4" w:space="0"/>
                    <w:right w:val="nil"/>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相符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04" w:hRule="atLeast"/>
              </w:trPr>
              <w:tc>
                <w:tcPr>
                  <w:tcW w:w="1014" w:type="dxa"/>
                  <w:tcBorders>
                    <w:top w:val="single" w:color="000000" w:sz="4" w:space="0"/>
                    <w:left w:val="nil"/>
                    <w:bottom w:val="single" w:color="000000" w:sz="4" w:space="0"/>
                    <w:right w:val="single" w:color="000000" w:sz="4" w:space="0"/>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3</w:t>
                  </w:r>
                </w:p>
              </w:tc>
              <w:tc>
                <w:tcPr>
                  <w:tcW w:w="913" w:type="dxa"/>
                  <w:tcBorders>
                    <w:top w:val="single" w:color="000000" w:sz="4" w:space="0"/>
                    <w:left w:val="single" w:color="000000" w:sz="4" w:space="0"/>
                    <w:bottom w:val="single" w:color="000000" w:sz="4" w:space="0"/>
                    <w:right w:val="single" w:color="000000" w:sz="4" w:space="0"/>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资源利用上线</w:t>
                  </w:r>
                </w:p>
              </w:tc>
              <w:tc>
                <w:tcPr>
                  <w:tcW w:w="6053" w:type="dxa"/>
                  <w:tcBorders>
                    <w:top w:val="single" w:color="000000" w:sz="4" w:space="0"/>
                    <w:left w:val="single" w:color="000000" w:sz="4" w:space="0"/>
                    <w:bottom w:val="single" w:color="000000" w:sz="4" w:space="0"/>
                    <w:right w:val="single" w:color="000000" w:sz="4" w:space="0"/>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本项目营运期主要利用资源为水、电及相关原辅材料，本项目所在地水电资源丰富。本项目无生产废水产生及排放，仅员工生活污水，依托厂区雨污管网，接管金坛第二污水处理厂集中处理。本项目符合资源利用上线相关要求。</w:t>
                  </w:r>
                </w:p>
              </w:tc>
              <w:tc>
                <w:tcPr>
                  <w:tcW w:w="825" w:type="dxa"/>
                  <w:tcBorders>
                    <w:top w:val="single" w:color="000000" w:sz="4" w:space="0"/>
                    <w:left w:val="single" w:color="000000" w:sz="4" w:space="0"/>
                    <w:bottom w:val="single" w:color="000000" w:sz="4" w:space="0"/>
                    <w:right w:val="nil"/>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相符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04" w:hRule="atLeast"/>
              </w:trPr>
              <w:tc>
                <w:tcPr>
                  <w:tcW w:w="1014" w:type="dxa"/>
                  <w:tcBorders>
                    <w:top w:val="single" w:color="000000" w:sz="4" w:space="0"/>
                    <w:left w:val="nil"/>
                    <w:right w:val="single" w:color="000000" w:sz="4" w:space="0"/>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4</w:t>
                  </w:r>
                </w:p>
              </w:tc>
              <w:tc>
                <w:tcPr>
                  <w:tcW w:w="913" w:type="dxa"/>
                  <w:tcBorders>
                    <w:top w:val="single" w:color="000000" w:sz="4" w:space="0"/>
                    <w:left w:val="single" w:color="000000" w:sz="4" w:space="0"/>
                    <w:right w:val="single" w:color="000000" w:sz="4" w:space="0"/>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环境准入负面清单</w:t>
                  </w:r>
                </w:p>
              </w:tc>
              <w:tc>
                <w:tcPr>
                  <w:tcW w:w="6053" w:type="dxa"/>
                  <w:tcBorders>
                    <w:top w:val="single" w:color="000000" w:sz="4" w:space="0"/>
                    <w:left w:val="single" w:color="000000" w:sz="4" w:space="0"/>
                    <w:right w:val="single" w:color="000000" w:sz="4" w:space="0"/>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本项目不属于园区禁止、限制发展的产业，与园区产业定位相符；经对照 《市场准入负面清单（202</w:t>
                  </w:r>
                  <w:r>
                    <w:rPr>
                      <w:rFonts w:hint="eastAsia" w:ascii="Times New Roman" w:hAnsi="Times New Roman" w:eastAsia="宋体"/>
                      <w:sz w:val="21"/>
                      <w:szCs w:val="21"/>
                      <w:lang w:val="en-US" w:eastAsia="zh-CN"/>
                    </w:rPr>
                    <w:t>2</w:t>
                  </w:r>
                  <w:r>
                    <w:rPr>
                      <w:rFonts w:hint="eastAsia" w:ascii="Times New Roman" w:hAnsi="Times New Roman" w:eastAsia="宋体"/>
                      <w:sz w:val="21"/>
                      <w:szCs w:val="21"/>
                    </w:rPr>
                    <w:t>年版）》，本项目不属于负面清单中禁止事 项。同时，本项目不属于《长江经济带发展负面清单指南》（试行，2022 年版）中禁止建设类项目，未列入长江经济带发展负面清单。因此本项目 符合环境准入负面清单相关要求。</w:t>
                  </w:r>
                </w:p>
              </w:tc>
              <w:tc>
                <w:tcPr>
                  <w:tcW w:w="825" w:type="dxa"/>
                  <w:tcBorders>
                    <w:top w:val="single" w:color="000000" w:sz="4" w:space="0"/>
                    <w:left w:val="single" w:color="000000" w:sz="4" w:space="0"/>
                    <w:right w:val="nil"/>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相符</w:t>
                  </w:r>
                </w:p>
              </w:tc>
            </w:tr>
          </w:tbl>
          <w:p>
            <w:pPr>
              <w:widowControl/>
              <w:spacing w:line="360" w:lineRule="auto"/>
              <w:ind w:firstLine="480" w:firstLineChars="200"/>
              <w:jc w:val="left"/>
              <w:rPr>
                <w:color w:val="000000"/>
                <w:kern w:val="0"/>
                <w:sz w:val="24"/>
              </w:rPr>
            </w:pPr>
            <w:r>
              <w:rPr>
                <w:rFonts w:hint="eastAsia"/>
                <w:color w:val="000000"/>
                <w:kern w:val="0"/>
                <w:sz w:val="24"/>
              </w:rPr>
              <w:t>由上表可知，本项目符合“三线一单”（即生态保护红线、环境质量底线、环境 准入负面清单）筛选相关要求。</w:t>
            </w:r>
          </w:p>
          <w:p>
            <w:pPr>
              <w:widowControl/>
              <w:spacing w:line="360" w:lineRule="auto"/>
              <w:ind w:firstLine="480" w:firstLineChars="200"/>
              <w:jc w:val="left"/>
              <w:rPr>
                <w:color w:val="000000"/>
                <w:kern w:val="0"/>
                <w:sz w:val="24"/>
              </w:rPr>
            </w:pPr>
            <w:r>
              <w:rPr>
                <w:rFonts w:hint="eastAsia"/>
                <w:color w:val="000000"/>
                <w:kern w:val="0"/>
                <w:sz w:val="24"/>
              </w:rPr>
              <w:t>（2）与《省政府关于印发江苏省“三线一单”生态环境分区管控方案的通知》（苏政发 [2020]49 号）相符性分析。</w:t>
            </w:r>
          </w:p>
          <w:p>
            <w:pPr>
              <w:pStyle w:val="11"/>
              <w:widowControl w:val="0"/>
              <w:spacing w:line="240" w:lineRule="auto"/>
              <w:ind w:firstLine="0" w:firstLineChars="0"/>
              <w:jc w:val="center"/>
              <w:rPr>
                <w:rFonts w:ascii="Times New Roman" w:hAnsi="Times New Roman" w:eastAsia="宋体"/>
                <w:b/>
                <w:bCs/>
                <w:sz w:val="21"/>
                <w:szCs w:val="21"/>
              </w:rPr>
            </w:pPr>
          </w:p>
          <w:p>
            <w:pPr>
              <w:pStyle w:val="11"/>
              <w:widowControl w:val="0"/>
              <w:spacing w:line="240" w:lineRule="auto"/>
              <w:ind w:firstLine="0" w:firstLineChars="0"/>
              <w:jc w:val="center"/>
              <w:rPr>
                <w:rFonts w:ascii="Times New Roman" w:hAnsi="Times New Roman" w:eastAsia="宋体"/>
                <w:b/>
                <w:bCs/>
                <w:sz w:val="21"/>
                <w:szCs w:val="21"/>
              </w:rPr>
            </w:pPr>
          </w:p>
          <w:p>
            <w:pPr>
              <w:pStyle w:val="11"/>
              <w:widowControl w:val="0"/>
              <w:spacing w:line="240" w:lineRule="auto"/>
              <w:ind w:firstLine="0" w:firstLineChars="0"/>
              <w:jc w:val="center"/>
              <w:rPr>
                <w:rFonts w:ascii="Times New Roman" w:hAnsi="Times New Roman" w:eastAsia="宋体"/>
                <w:b/>
                <w:bCs/>
                <w:sz w:val="21"/>
                <w:szCs w:val="21"/>
              </w:rPr>
            </w:pPr>
          </w:p>
          <w:p>
            <w:pPr>
              <w:pStyle w:val="11"/>
              <w:widowControl w:val="0"/>
              <w:spacing w:line="240" w:lineRule="auto"/>
              <w:ind w:firstLine="0" w:firstLineChars="0"/>
              <w:jc w:val="center"/>
              <w:rPr>
                <w:rFonts w:ascii="Times New Roman" w:hAnsi="Times New Roman" w:eastAsia="宋体"/>
                <w:b/>
                <w:bCs/>
                <w:sz w:val="21"/>
                <w:szCs w:val="21"/>
              </w:rPr>
            </w:pPr>
          </w:p>
          <w:p>
            <w:pPr>
              <w:pStyle w:val="11"/>
              <w:widowControl w:val="0"/>
              <w:spacing w:line="240" w:lineRule="auto"/>
              <w:ind w:firstLine="0" w:firstLineChars="0"/>
              <w:jc w:val="center"/>
              <w:rPr>
                <w:rFonts w:ascii="Times New Roman" w:hAnsi="Times New Roman" w:eastAsia="宋体"/>
                <w:b/>
                <w:bCs/>
                <w:sz w:val="21"/>
                <w:szCs w:val="21"/>
              </w:rPr>
            </w:pPr>
          </w:p>
          <w:p>
            <w:pPr>
              <w:pStyle w:val="11"/>
              <w:widowControl w:val="0"/>
              <w:spacing w:line="240" w:lineRule="auto"/>
              <w:ind w:firstLine="0" w:firstLineChars="0"/>
              <w:jc w:val="center"/>
              <w:rPr>
                <w:rFonts w:ascii="Times New Roman" w:hAnsi="Times New Roman" w:eastAsia="宋体"/>
                <w:b/>
                <w:bCs/>
                <w:sz w:val="21"/>
                <w:szCs w:val="21"/>
              </w:rPr>
            </w:pPr>
          </w:p>
          <w:p>
            <w:pPr>
              <w:pStyle w:val="11"/>
              <w:widowControl w:val="0"/>
              <w:spacing w:line="240" w:lineRule="auto"/>
              <w:ind w:firstLine="0" w:firstLineChars="0"/>
              <w:jc w:val="center"/>
              <w:rPr>
                <w:rFonts w:ascii="Times New Roman" w:hAnsi="Times New Roman" w:eastAsia="宋体"/>
                <w:b/>
                <w:bCs/>
                <w:sz w:val="21"/>
                <w:szCs w:val="21"/>
              </w:rPr>
            </w:pPr>
          </w:p>
          <w:p>
            <w:pPr>
              <w:pStyle w:val="11"/>
              <w:widowControl w:val="0"/>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rPr>
              <w:t>表1-</w:t>
            </w:r>
            <w:r>
              <w:rPr>
                <w:rFonts w:hint="eastAsia" w:ascii="Times New Roman" w:hAnsi="Times New Roman" w:eastAsia="宋体"/>
                <w:b/>
                <w:bCs/>
              </w:rPr>
              <w:t>3</w:t>
            </w:r>
            <w:r>
              <w:rPr>
                <w:rFonts w:ascii="Times New Roman" w:hAnsi="Times New Roman" w:eastAsia="宋体"/>
                <w:b/>
                <w:bCs/>
              </w:rPr>
              <w:t xml:space="preserve"> </w:t>
            </w:r>
            <w:r>
              <w:rPr>
                <w:rFonts w:hint="eastAsia" w:ascii="Times New Roman" w:hAnsi="Times New Roman" w:eastAsia="宋体"/>
                <w:b/>
                <w:bCs/>
              </w:rPr>
              <w:t>与常州市“三线一单”生态环境分区管控相符性分析</w:t>
            </w:r>
          </w:p>
          <w:tbl>
            <w:tblPr>
              <w:tblStyle w:val="8"/>
              <w:tblW w:w="8805"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10"/>
              <w:gridCol w:w="555"/>
              <w:gridCol w:w="4875"/>
              <w:gridCol w:w="286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7" w:hRule="atLeast"/>
              </w:trPr>
              <w:tc>
                <w:tcPr>
                  <w:tcW w:w="510" w:type="dxa"/>
                  <w:tcBorders>
                    <w:left w:val="nil"/>
                    <w:bottom w:val="single" w:color="000000" w:sz="4" w:space="0"/>
                    <w:right w:val="single" w:color="000000" w:sz="4" w:space="0"/>
                  </w:tcBorders>
                  <w:vAlign w:val="center"/>
                </w:tcPr>
                <w:p>
                  <w:pPr>
                    <w:pStyle w:val="12"/>
                    <w:rPr>
                      <w:rFonts w:ascii="Times New Roman" w:hAnsi="Times New Roman" w:eastAsia="宋体"/>
                      <w:b/>
                      <w:bCs/>
                      <w:sz w:val="21"/>
                      <w:szCs w:val="21"/>
                    </w:rPr>
                  </w:pPr>
                  <w:r>
                    <w:rPr>
                      <w:rFonts w:hint="eastAsia" w:ascii="Times New Roman" w:hAnsi="Times New Roman" w:eastAsia="宋体"/>
                      <w:b/>
                      <w:bCs/>
                      <w:sz w:val="21"/>
                      <w:szCs w:val="21"/>
                    </w:rPr>
                    <w:t>序号</w:t>
                  </w:r>
                </w:p>
              </w:tc>
              <w:tc>
                <w:tcPr>
                  <w:tcW w:w="555" w:type="dxa"/>
                  <w:tcBorders>
                    <w:left w:val="single" w:color="000000" w:sz="4" w:space="0"/>
                    <w:bottom w:val="single" w:color="000000" w:sz="4" w:space="0"/>
                    <w:right w:val="single" w:color="000000" w:sz="4" w:space="0"/>
                  </w:tcBorders>
                  <w:vAlign w:val="center"/>
                </w:tcPr>
                <w:p>
                  <w:pPr>
                    <w:pStyle w:val="12"/>
                    <w:rPr>
                      <w:rFonts w:ascii="Times New Roman" w:hAnsi="Times New Roman" w:eastAsia="宋体"/>
                      <w:b/>
                      <w:bCs/>
                      <w:sz w:val="21"/>
                      <w:szCs w:val="21"/>
                    </w:rPr>
                  </w:pPr>
                  <w:r>
                    <w:rPr>
                      <w:rFonts w:hint="eastAsia" w:ascii="Times New Roman" w:hAnsi="Times New Roman" w:eastAsia="宋体"/>
                      <w:b/>
                      <w:bCs/>
                      <w:sz w:val="21"/>
                      <w:szCs w:val="21"/>
                    </w:rPr>
                    <w:t>管理类别</w:t>
                  </w:r>
                </w:p>
              </w:tc>
              <w:tc>
                <w:tcPr>
                  <w:tcW w:w="4875" w:type="dxa"/>
                  <w:tcBorders>
                    <w:left w:val="single" w:color="000000" w:sz="4" w:space="0"/>
                    <w:bottom w:val="single" w:color="000000" w:sz="4" w:space="0"/>
                    <w:right w:val="single" w:color="000000" w:sz="4" w:space="0"/>
                  </w:tcBorders>
                  <w:vAlign w:val="center"/>
                </w:tcPr>
                <w:p>
                  <w:pPr>
                    <w:pStyle w:val="12"/>
                    <w:rPr>
                      <w:rFonts w:ascii="Times New Roman" w:hAnsi="Times New Roman" w:eastAsia="宋体"/>
                      <w:b/>
                      <w:bCs/>
                      <w:sz w:val="21"/>
                      <w:szCs w:val="21"/>
                    </w:rPr>
                  </w:pPr>
                  <w:r>
                    <w:rPr>
                      <w:rFonts w:hint="eastAsia" w:ascii="Times New Roman" w:hAnsi="Times New Roman" w:eastAsia="宋体"/>
                      <w:b/>
                      <w:bCs/>
                      <w:sz w:val="21"/>
                      <w:szCs w:val="21"/>
                    </w:rPr>
                    <w:t>重点管控要求</w:t>
                  </w:r>
                </w:p>
              </w:tc>
              <w:tc>
                <w:tcPr>
                  <w:tcW w:w="2865" w:type="dxa"/>
                  <w:tcBorders>
                    <w:left w:val="single" w:color="000000" w:sz="4" w:space="0"/>
                    <w:bottom w:val="single" w:color="000000" w:sz="4" w:space="0"/>
                    <w:right w:val="nil"/>
                  </w:tcBorders>
                  <w:vAlign w:val="center"/>
                </w:tcPr>
                <w:p>
                  <w:pPr>
                    <w:pStyle w:val="12"/>
                    <w:rPr>
                      <w:rFonts w:ascii="Times New Roman" w:hAnsi="Times New Roman" w:eastAsia="宋体"/>
                      <w:b/>
                      <w:bCs/>
                      <w:sz w:val="21"/>
                      <w:szCs w:val="21"/>
                    </w:rPr>
                  </w:pPr>
                  <w:r>
                    <w:rPr>
                      <w:rFonts w:hint="eastAsia" w:ascii="Times New Roman" w:hAnsi="Times New Roman" w:eastAsia="宋体"/>
                      <w:b/>
                      <w:bCs/>
                      <w:sz w:val="21"/>
                      <w:szCs w:val="21"/>
                    </w:rPr>
                    <w:t>相符性分析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1" w:hRule="atLeast"/>
              </w:trPr>
              <w:tc>
                <w:tcPr>
                  <w:tcW w:w="510" w:type="dxa"/>
                  <w:tcBorders>
                    <w:top w:val="single" w:color="000000" w:sz="4" w:space="0"/>
                    <w:left w:val="nil"/>
                    <w:bottom w:val="single" w:color="000000" w:sz="4" w:space="0"/>
                    <w:right w:val="single" w:color="000000" w:sz="4" w:space="0"/>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1</w:t>
                  </w: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空间布局约束</w:t>
                  </w:r>
                </w:p>
              </w:tc>
              <w:tc>
                <w:tcPr>
                  <w:tcW w:w="4875" w:type="dxa"/>
                  <w:tcBorders>
                    <w:top w:val="single" w:color="000000" w:sz="4" w:space="0"/>
                    <w:left w:val="single" w:color="000000" w:sz="4" w:space="0"/>
                    <w:bottom w:val="single" w:color="000000" w:sz="4" w:space="0"/>
                    <w:right w:val="single" w:color="000000" w:sz="4" w:space="0"/>
                  </w:tcBorders>
                  <w:vAlign w:val="center"/>
                </w:tcPr>
                <w:p>
                  <w:pPr>
                    <w:pStyle w:val="12"/>
                    <w:numPr>
                      <w:ilvl w:val="0"/>
                      <w:numId w:val="3"/>
                    </w:numPr>
                    <w:wordWrap w:val="0"/>
                    <w:jc w:val="left"/>
                    <w:rPr>
                      <w:rFonts w:ascii="Times New Roman" w:hAnsi="Times New Roman" w:eastAsia="宋体"/>
                      <w:sz w:val="21"/>
                      <w:szCs w:val="21"/>
                    </w:rPr>
                  </w:pPr>
                  <w:r>
                    <w:rPr>
                      <w:rFonts w:hint="eastAsia" w:ascii="Times New Roman" w:hAnsi="Times New Roman" w:eastAsia="宋体"/>
                      <w:sz w:val="21"/>
                      <w:szCs w:val="21"/>
                    </w:rPr>
                    <w:t>在太湖流域一、二、三级保护区，禁止新建、改建、扩建化学制浆造纸、制革.酿造、染料、印染(电镀以及其他排放含氮、磷等污染物的企业和项目，城镇污水集中处理等环境基础设施项目和《江苏省太湖水污染防治条例》第四十六条规定的情形除外。</w:t>
                  </w:r>
                </w:p>
                <w:p>
                  <w:pPr>
                    <w:pStyle w:val="12"/>
                    <w:numPr>
                      <w:ilvl w:val="0"/>
                      <w:numId w:val="3"/>
                    </w:numPr>
                    <w:wordWrap w:val="0"/>
                    <w:jc w:val="left"/>
                    <w:rPr>
                      <w:rFonts w:ascii="Times New Roman" w:hAnsi="Times New Roman" w:eastAsia="宋体"/>
                      <w:sz w:val="21"/>
                      <w:szCs w:val="21"/>
                    </w:rPr>
                  </w:pPr>
                  <w:r>
                    <w:rPr>
                      <w:rFonts w:hint="eastAsia" w:ascii="Times New Roman" w:hAnsi="Times New Roman" w:eastAsia="宋体"/>
                      <w:sz w:val="21"/>
                      <w:szCs w:val="21"/>
                    </w:rPr>
                    <w:t xml:space="preserve">在太湖流域一级保护区，禁止新建、扩建向水体排放污染物的建设项目,"禁止新建，护建高尔夫球场、水上游乐等开发项目以及设置水上餐饮经营设施。 </w:t>
                  </w:r>
                </w:p>
                <w:p>
                  <w:pPr>
                    <w:pStyle w:val="12"/>
                    <w:wordWrap w:val="0"/>
                    <w:jc w:val="left"/>
                    <w:rPr>
                      <w:rFonts w:ascii="Times New Roman" w:hAnsi="Times New Roman" w:eastAsia="宋体"/>
                      <w:sz w:val="21"/>
                      <w:szCs w:val="21"/>
                    </w:rPr>
                  </w:pPr>
                  <w:r>
                    <w:rPr>
                      <w:rFonts w:hint="eastAsia" w:ascii="Times New Roman" w:hAnsi="Times New Roman" w:eastAsia="宋体"/>
                      <w:sz w:val="21"/>
                      <w:szCs w:val="21"/>
                    </w:rPr>
                    <w:t>3.在太湖流域二级保护区内，禁止新建、扩建 化工、医药生产项目，禁止新建、扩建污水集中处理设施排污口以外的排污口。</w:t>
                  </w:r>
                </w:p>
              </w:tc>
              <w:tc>
                <w:tcPr>
                  <w:tcW w:w="2865" w:type="dxa"/>
                  <w:tcBorders>
                    <w:top w:val="single" w:color="000000" w:sz="4" w:space="0"/>
                    <w:left w:val="single" w:color="000000" w:sz="4" w:space="0"/>
                    <w:bottom w:val="single" w:color="000000" w:sz="4" w:space="0"/>
                    <w:right w:val="nil"/>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本项目为塑料制品生产项目，不涉及含氮、磷等污染物的排放；不属于禁止项目。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04" w:hRule="atLeast"/>
              </w:trPr>
              <w:tc>
                <w:tcPr>
                  <w:tcW w:w="510" w:type="dxa"/>
                  <w:tcBorders>
                    <w:top w:val="single" w:color="000000" w:sz="4" w:space="0"/>
                    <w:left w:val="nil"/>
                    <w:bottom w:val="single" w:color="000000" w:sz="4" w:space="0"/>
                    <w:right w:val="single" w:color="000000" w:sz="4" w:space="0"/>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2</w:t>
                  </w: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污染排放管控</w:t>
                  </w:r>
                </w:p>
              </w:tc>
              <w:tc>
                <w:tcPr>
                  <w:tcW w:w="4875" w:type="dxa"/>
                  <w:tcBorders>
                    <w:top w:val="single" w:color="000000" w:sz="4" w:space="0"/>
                    <w:left w:val="single" w:color="000000" w:sz="4" w:space="0"/>
                    <w:bottom w:val="single" w:color="000000" w:sz="4" w:space="0"/>
                    <w:right w:val="single" w:color="000000" w:sz="4" w:space="0"/>
                  </w:tcBorders>
                  <w:vAlign w:val="center"/>
                </w:tcPr>
                <w:p>
                  <w:pPr>
                    <w:pStyle w:val="12"/>
                    <w:jc w:val="left"/>
                    <w:rPr>
                      <w:rFonts w:ascii="Times New Roman" w:hAnsi="Times New Roman" w:eastAsia="宋体"/>
                      <w:sz w:val="21"/>
                      <w:szCs w:val="21"/>
                    </w:rPr>
                  </w:pPr>
                  <w:r>
                    <w:rPr>
                      <w:rFonts w:hint="eastAsia" w:ascii="Times New Roman" w:hAnsi="Times New Roman" w:eastAsia="宋体"/>
                      <w:sz w:val="21"/>
                      <w:szCs w:val="21"/>
                    </w:rPr>
                    <w:t>城镇污水处理厂、纺织工业、化学工业、造纸 工业、钢铁工业、电镀工业和食品工业的污水处理设施执行《大湖地区城镇污水处理厂及重点工业行业主要水污染物排放限值》。</w:t>
                  </w:r>
                </w:p>
              </w:tc>
              <w:tc>
                <w:tcPr>
                  <w:tcW w:w="2865" w:type="dxa"/>
                  <w:tcBorders>
                    <w:top w:val="single" w:color="000000" w:sz="4" w:space="0"/>
                    <w:left w:val="single" w:color="000000" w:sz="4" w:space="0"/>
                    <w:bottom w:val="single" w:color="000000" w:sz="4" w:space="0"/>
                    <w:right w:val="nil"/>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本项目为塑料制品生产项目，无生产废水产生，员工生活污水经市政污水管网进金坛第二污水处理厂集中处理。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04" w:hRule="atLeast"/>
              </w:trPr>
              <w:tc>
                <w:tcPr>
                  <w:tcW w:w="510" w:type="dxa"/>
                  <w:tcBorders>
                    <w:top w:val="single" w:color="000000" w:sz="4" w:space="0"/>
                    <w:left w:val="nil"/>
                    <w:bottom w:val="single" w:color="000000" w:sz="4" w:space="0"/>
                    <w:right w:val="single" w:color="000000" w:sz="4" w:space="0"/>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3</w:t>
                  </w: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环境风险管控</w:t>
                  </w:r>
                </w:p>
              </w:tc>
              <w:tc>
                <w:tcPr>
                  <w:tcW w:w="4875" w:type="dxa"/>
                  <w:tcBorders>
                    <w:top w:val="single" w:color="000000" w:sz="4" w:space="0"/>
                    <w:left w:val="single" w:color="000000" w:sz="4" w:space="0"/>
                    <w:bottom w:val="single" w:color="000000" w:sz="4" w:space="0"/>
                    <w:right w:val="single" w:color="000000" w:sz="4" w:space="0"/>
                  </w:tcBorders>
                  <w:vAlign w:val="center"/>
                </w:tcPr>
                <w:p>
                  <w:pPr>
                    <w:pStyle w:val="12"/>
                    <w:numPr>
                      <w:ilvl w:val="0"/>
                      <w:numId w:val="4"/>
                    </w:numPr>
                    <w:jc w:val="left"/>
                    <w:rPr>
                      <w:rFonts w:ascii="Times New Roman" w:hAnsi="Times New Roman" w:eastAsia="宋体"/>
                      <w:sz w:val="21"/>
                      <w:szCs w:val="21"/>
                    </w:rPr>
                  </w:pPr>
                  <w:r>
                    <w:rPr>
                      <w:rFonts w:hint="eastAsia" w:ascii="Times New Roman" w:hAnsi="Times New Roman" w:eastAsia="宋体"/>
                      <w:sz w:val="21"/>
                      <w:szCs w:val="21"/>
                    </w:rPr>
                    <w:t xml:space="preserve">运输剧毒物质，危险化学品的船舶不得进入太湖。 2、禁止向太湖流域水体排放或者倾倒油类、酸 液、碱液、剧毒废渣废液、含放射性废渣废液、含病原体污水、工业废渣以及其他废弃物。 </w:t>
                  </w:r>
                </w:p>
                <w:p>
                  <w:pPr>
                    <w:pStyle w:val="12"/>
                    <w:jc w:val="both"/>
                    <w:rPr>
                      <w:rFonts w:ascii="Times New Roman" w:hAnsi="Times New Roman" w:eastAsia="宋体"/>
                      <w:sz w:val="21"/>
                      <w:szCs w:val="21"/>
                    </w:rPr>
                  </w:pPr>
                  <w:r>
                    <w:rPr>
                      <w:rFonts w:hint="eastAsia" w:ascii="Times New Roman" w:hAnsi="Times New Roman" w:eastAsia="宋体"/>
                      <w:sz w:val="21"/>
                      <w:szCs w:val="21"/>
                    </w:rPr>
                    <w:t>3、加强太湖流域生态环境风险应急管控，着力提高防控太湖蓝藻水华风险预警和应急处置能力。</w:t>
                  </w:r>
                </w:p>
              </w:tc>
              <w:tc>
                <w:tcPr>
                  <w:tcW w:w="2865" w:type="dxa"/>
                  <w:tcBorders>
                    <w:top w:val="single" w:color="000000" w:sz="4" w:space="0"/>
                    <w:left w:val="single" w:color="000000" w:sz="4" w:space="0"/>
                    <w:bottom w:val="single" w:color="000000" w:sz="4" w:space="0"/>
                    <w:right w:val="nil"/>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本项目将在生产过程中加强风险管控。严防污染物污染水体和周边外环境，不涉及《江苏省人民政府关于印发江苏省“三线一单”生态环境分区管控方案的通知》中规定的环境风险。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04" w:hRule="atLeast"/>
              </w:trPr>
              <w:tc>
                <w:tcPr>
                  <w:tcW w:w="510" w:type="dxa"/>
                  <w:tcBorders>
                    <w:top w:val="single" w:color="000000" w:sz="4" w:space="0"/>
                    <w:left w:val="nil"/>
                    <w:right w:val="single" w:color="000000" w:sz="4" w:space="0"/>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4</w:t>
                  </w:r>
                </w:p>
              </w:tc>
              <w:tc>
                <w:tcPr>
                  <w:tcW w:w="555" w:type="dxa"/>
                  <w:tcBorders>
                    <w:top w:val="single" w:color="000000" w:sz="4" w:space="0"/>
                    <w:left w:val="single" w:color="000000" w:sz="4" w:space="0"/>
                    <w:right w:val="single" w:color="000000" w:sz="4" w:space="0"/>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资源利用效率要求</w:t>
                  </w:r>
                </w:p>
              </w:tc>
              <w:tc>
                <w:tcPr>
                  <w:tcW w:w="4875" w:type="dxa"/>
                  <w:tcBorders>
                    <w:top w:val="single" w:color="000000" w:sz="4" w:space="0"/>
                    <w:left w:val="single" w:color="000000" w:sz="4" w:space="0"/>
                    <w:right w:val="single" w:color="000000" w:sz="4" w:space="0"/>
                  </w:tcBorders>
                  <w:vAlign w:val="center"/>
                </w:tcPr>
                <w:p>
                  <w:pPr>
                    <w:pStyle w:val="12"/>
                    <w:numPr>
                      <w:ilvl w:val="0"/>
                      <w:numId w:val="5"/>
                    </w:numPr>
                    <w:jc w:val="left"/>
                    <w:rPr>
                      <w:rFonts w:ascii="Times New Roman" w:hAnsi="Times New Roman" w:eastAsia="宋体"/>
                      <w:sz w:val="21"/>
                      <w:szCs w:val="21"/>
                    </w:rPr>
                  </w:pPr>
                  <w:r>
                    <w:rPr>
                      <w:rFonts w:hint="eastAsia" w:ascii="Times New Roman" w:hAnsi="Times New Roman" w:eastAsia="宋体"/>
                      <w:sz w:val="21"/>
                      <w:szCs w:val="21"/>
                    </w:rPr>
                    <w:t xml:space="preserve">太湖流域加强水资源配置与调度。优先满足居民生活用水，兼顾生产、生态用水以及航运等需要。 </w:t>
                  </w:r>
                </w:p>
                <w:p>
                  <w:pPr>
                    <w:pStyle w:val="12"/>
                    <w:jc w:val="left"/>
                    <w:rPr>
                      <w:rFonts w:ascii="Times New Roman" w:hAnsi="Times New Roman" w:eastAsia="宋体"/>
                      <w:sz w:val="21"/>
                      <w:szCs w:val="21"/>
                    </w:rPr>
                  </w:pPr>
                  <w:r>
                    <w:rPr>
                      <w:rFonts w:hint="eastAsia" w:ascii="Times New Roman" w:hAnsi="Times New Roman" w:eastAsia="宋体"/>
                      <w:sz w:val="21"/>
                      <w:szCs w:val="21"/>
                    </w:rPr>
                    <w:t>2、2020 年底前，太湖流域所有省级以上开发区开展园区循环化改造。</w:t>
                  </w:r>
                </w:p>
              </w:tc>
              <w:tc>
                <w:tcPr>
                  <w:tcW w:w="2865" w:type="dxa"/>
                  <w:tcBorders>
                    <w:top w:val="single" w:color="000000" w:sz="4" w:space="0"/>
                    <w:left w:val="single" w:color="000000" w:sz="4" w:space="0"/>
                    <w:right w:val="nil"/>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本项目生产过程中冷却水循环使用，减少水资源的利用。</w:t>
                  </w:r>
                </w:p>
              </w:tc>
            </w:tr>
          </w:tbl>
          <w:p>
            <w:pPr>
              <w:widowControl/>
              <w:spacing w:line="360" w:lineRule="auto"/>
              <w:ind w:firstLine="480" w:firstLineChars="200"/>
              <w:jc w:val="left"/>
              <w:rPr>
                <w:color w:val="000000"/>
                <w:kern w:val="0"/>
                <w:sz w:val="24"/>
              </w:rPr>
            </w:pPr>
            <w:r>
              <w:rPr>
                <w:rFonts w:hint="eastAsia"/>
                <w:color w:val="000000"/>
                <w:kern w:val="0"/>
                <w:sz w:val="24"/>
              </w:rPr>
              <w:t>综上，本项目符合《省政府关于印发江苏省“三线一单”生态环境分区管控方案的通知》（苏政发 [2020]49 号）中规定的相关内容。</w:t>
            </w:r>
          </w:p>
          <w:p>
            <w:pPr>
              <w:widowControl/>
              <w:spacing w:line="360" w:lineRule="auto"/>
              <w:ind w:firstLine="480" w:firstLineChars="200"/>
              <w:jc w:val="left"/>
              <w:rPr>
                <w:color w:val="000000"/>
                <w:kern w:val="0"/>
                <w:sz w:val="24"/>
              </w:rPr>
            </w:pPr>
            <w:r>
              <w:rPr>
                <w:rFonts w:hint="eastAsia"/>
                <w:color w:val="000000"/>
                <w:kern w:val="0"/>
                <w:sz w:val="24"/>
              </w:rPr>
              <w:t>（3）与《关于印发常州市“三线一单”生态环境分区管控实施方案的通知》（常环 [2020]95 号）相符性分析</w:t>
            </w:r>
          </w:p>
          <w:p>
            <w:pPr>
              <w:widowControl/>
              <w:spacing w:line="360" w:lineRule="auto"/>
              <w:ind w:firstLine="480" w:firstLineChars="200"/>
              <w:jc w:val="left"/>
              <w:rPr>
                <w:color w:val="000000"/>
                <w:kern w:val="0"/>
                <w:sz w:val="24"/>
              </w:rPr>
            </w:pPr>
            <w:r>
              <w:rPr>
                <w:color w:val="000000"/>
                <w:kern w:val="0"/>
                <w:sz w:val="24"/>
              </w:rPr>
              <w:t>本项目地处常州市金坛经济开发区汇福路</w:t>
            </w:r>
            <w:r>
              <w:rPr>
                <w:rFonts w:hint="eastAsia"/>
                <w:color w:val="000000"/>
                <w:kern w:val="0"/>
                <w:sz w:val="24"/>
              </w:rPr>
              <w:t>5</w:t>
            </w:r>
            <w:r>
              <w:rPr>
                <w:color w:val="000000"/>
                <w:kern w:val="0"/>
                <w:sz w:val="24"/>
              </w:rPr>
              <w:t>号，租用常州</w:t>
            </w:r>
            <w:r>
              <w:rPr>
                <w:rFonts w:hint="eastAsia"/>
                <w:color w:val="000000"/>
                <w:kern w:val="0"/>
                <w:sz w:val="24"/>
              </w:rPr>
              <w:t>元创橡胶</w:t>
            </w:r>
            <w:r>
              <w:rPr>
                <w:color w:val="000000"/>
                <w:kern w:val="0"/>
                <w:sz w:val="24"/>
              </w:rPr>
              <w:t>科技有限公司厂房，属于金坛经济开发区范畴，根据《常州市“三线一单”生态环境分区管控实施方案》，该区域属于重点管控单元，具体环境管控单元准入清单见下表。</w:t>
            </w:r>
          </w:p>
          <w:p>
            <w:pPr>
              <w:pStyle w:val="11"/>
              <w:widowControl w:val="0"/>
              <w:spacing w:line="240" w:lineRule="auto"/>
              <w:ind w:firstLine="0" w:firstLineChars="0"/>
              <w:jc w:val="center"/>
              <w:rPr>
                <w:rFonts w:ascii="Times New Roman" w:hAnsi="Times New Roman" w:eastAsia="宋体"/>
                <w:b/>
                <w:bCs/>
                <w:sz w:val="21"/>
                <w:szCs w:val="21"/>
              </w:rPr>
            </w:pPr>
          </w:p>
          <w:p>
            <w:pPr>
              <w:pStyle w:val="11"/>
              <w:widowControl w:val="0"/>
              <w:spacing w:line="240" w:lineRule="auto"/>
              <w:ind w:firstLine="0" w:firstLineChars="0"/>
              <w:jc w:val="center"/>
              <w:rPr>
                <w:rFonts w:ascii="Times New Roman" w:hAnsi="Times New Roman" w:eastAsia="宋体"/>
                <w:b/>
                <w:bCs/>
                <w:sz w:val="21"/>
                <w:szCs w:val="21"/>
              </w:rPr>
            </w:pPr>
          </w:p>
          <w:p>
            <w:pPr>
              <w:pStyle w:val="11"/>
              <w:widowControl w:val="0"/>
              <w:spacing w:line="240" w:lineRule="auto"/>
              <w:ind w:firstLine="0" w:firstLineChars="0"/>
              <w:jc w:val="center"/>
              <w:rPr>
                <w:rFonts w:ascii="Times New Roman" w:hAnsi="Times New Roman" w:eastAsia="宋体"/>
                <w:b/>
                <w:bCs/>
                <w:sz w:val="21"/>
                <w:szCs w:val="21"/>
              </w:rPr>
            </w:pPr>
          </w:p>
          <w:p>
            <w:pPr>
              <w:pStyle w:val="11"/>
              <w:widowControl w:val="0"/>
              <w:spacing w:line="24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表1-</w:t>
            </w:r>
            <w:r>
              <w:rPr>
                <w:rFonts w:hint="eastAsia" w:ascii="Times New Roman" w:hAnsi="Times New Roman" w:eastAsia="宋体"/>
                <w:b/>
                <w:bCs/>
                <w:sz w:val="21"/>
                <w:szCs w:val="21"/>
              </w:rPr>
              <w:t>6</w:t>
            </w:r>
            <w:r>
              <w:rPr>
                <w:rFonts w:ascii="Times New Roman" w:hAnsi="Times New Roman" w:eastAsia="宋体"/>
                <w:b/>
                <w:bCs/>
                <w:sz w:val="21"/>
                <w:szCs w:val="21"/>
              </w:rPr>
              <w:t xml:space="preserve"> </w:t>
            </w:r>
            <w:r>
              <w:rPr>
                <w:rFonts w:hint="eastAsia" w:ascii="Times New Roman" w:hAnsi="Times New Roman" w:eastAsia="宋体"/>
                <w:b/>
                <w:bCs/>
                <w:sz w:val="21"/>
                <w:szCs w:val="21"/>
              </w:rPr>
              <w:t>与常州市“三线一单”生态环境分区管控相符性分析</w:t>
            </w:r>
          </w:p>
          <w:tbl>
            <w:tblPr>
              <w:tblStyle w:val="8"/>
              <w:tblW w:w="8805"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10"/>
              <w:gridCol w:w="555"/>
              <w:gridCol w:w="4875"/>
              <w:gridCol w:w="2198"/>
              <w:gridCol w:w="66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7" w:hRule="atLeast"/>
              </w:trPr>
              <w:tc>
                <w:tcPr>
                  <w:tcW w:w="510" w:type="dxa"/>
                  <w:tcBorders>
                    <w:left w:val="nil"/>
                    <w:bottom w:val="single" w:color="000000" w:sz="4" w:space="0"/>
                    <w:right w:val="single" w:color="000000" w:sz="4" w:space="0"/>
                  </w:tcBorders>
                  <w:vAlign w:val="center"/>
                </w:tcPr>
                <w:p>
                  <w:pPr>
                    <w:pStyle w:val="12"/>
                    <w:rPr>
                      <w:rFonts w:ascii="Times New Roman" w:hAnsi="Times New Roman" w:eastAsia="宋体"/>
                      <w:b/>
                      <w:bCs/>
                      <w:sz w:val="21"/>
                      <w:szCs w:val="21"/>
                    </w:rPr>
                  </w:pPr>
                  <w:r>
                    <w:rPr>
                      <w:rFonts w:hint="eastAsia" w:ascii="Times New Roman" w:hAnsi="Times New Roman" w:eastAsia="宋体"/>
                      <w:b/>
                      <w:bCs/>
                      <w:sz w:val="21"/>
                      <w:szCs w:val="21"/>
                    </w:rPr>
                    <w:t>序号</w:t>
                  </w:r>
                </w:p>
              </w:tc>
              <w:tc>
                <w:tcPr>
                  <w:tcW w:w="555" w:type="dxa"/>
                  <w:tcBorders>
                    <w:left w:val="single" w:color="000000" w:sz="4" w:space="0"/>
                    <w:bottom w:val="single" w:color="000000" w:sz="4" w:space="0"/>
                    <w:right w:val="single" w:color="000000" w:sz="4" w:space="0"/>
                  </w:tcBorders>
                  <w:vAlign w:val="center"/>
                </w:tcPr>
                <w:p>
                  <w:pPr>
                    <w:pStyle w:val="12"/>
                    <w:rPr>
                      <w:rFonts w:ascii="Times New Roman" w:hAnsi="Times New Roman" w:eastAsia="宋体"/>
                      <w:b/>
                      <w:bCs/>
                      <w:sz w:val="21"/>
                      <w:szCs w:val="21"/>
                    </w:rPr>
                  </w:pPr>
                  <w:r>
                    <w:rPr>
                      <w:rFonts w:hint="eastAsia" w:ascii="Times New Roman" w:hAnsi="Times New Roman" w:eastAsia="宋体"/>
                      <w:b/>
                      <w:bCs/>
                      <w:sz w:val="21"/>
                      <w:szCs w:val="21"/>
                    </w:rPr>
                    <w:t>管理类别</w:t>
                  </w:r>
                </w:p>
              </w:tc>
              <w:tc>
                <w:tcPr>
                  <w:tcW w:w="4875" w:type="dxa"/>
                  <w:tcBorders>
                    <w:left w:val="single" w:color="000000" w:sz="4" w:space="0"/>
                    <w:bottom w:val="single" w:color="000000" w:sz="4" w:space="0"/>
                    <w:right w:val="single" w:color="000000" w:sz="4" w:space="0"/>
                  </w:tcBorders>
                  <w:vAlign w:val="center"/>
                </w:tcPr>
                <w:p>
                  <w:pPr>
                    <w:pStyle w:val="12"/>
                    <w:rPr>
                      <w:rFonts w:ascii="Times New Roman" w:hAnsi="Times New Roman" w:eastAsia="宋体"/>
                      <w:b/>
                      <w:bCs/>
                      <w:sz w:val="21"/>
                      <w:szCs w:val="21"/>
                    </w:rPr>
                  </w:pPr>
                  <w:r>
                    <w:rPr>
                      <w:rFonts w:hint="eastAsia" w:ascii="Times New Roman" w:hAnsi="Times New Roman" w:eastAsia="宋体"/>
                      <w:b/>
                      <w:bCs/>
                      <w:sz w:val="21"/>
                      <w:szCs w:val="21"/>
                    </w:rPr>
                    <w:t>重点管控要求</w:t>
                  </w:r>
                </w:p>
              </w:tc>
              <w:tc>
                <w:tcPr>
                  <w:tcW w:w="2198" w:type="dxa"/>
                  <w:tcBorders>
                    <w:left w:val="single" w:color="000000" w:sz="4" w:space="0"/>
                    <w:bottom w:val="single" w:color="000000" w:sz="4" w:space="0"/>
                    <w:right w:val="nil"/>
                  </w:tcBorders>
                  <w:vAlign w:val="center"/>
                </w:tcPr>
                <w:p>
                  <w:pPr>
                    <w:pStyle w:val="12"/>
                    <w:rPr>
                      <w:rFonts w:ascii="Times New Roman" w:hAnsi="Times New Roman" w:eastAsia="宋体"/>
                      <w:b/>
                      <w:bCs/>
                      <w:sz w:val="21"/>
                      <w:szCs w:val="21"/>
                    </w:rPr>
                  </w:pPr>
                  <w:r>
                    <w:rPr>
                      <w:rFonts w:hint="eastAsia" w:ascii="Times New Roman" w:hAnsi="Times New Roman" w:eastAsia="宋体"/>
                      <w:b/>
                      <w:bCs/>
                      <w:sz w:val="21"/>
                      <w:szCs w:val="21"/>
                    </w:rPr>
                    <w:t>本项目情况</w:t>
                  </w:r>
                </w:p>
              </w:tc>
              <w:tc>
                <w:tcPr>
                  <w:tcW w:w="667" w:type="dxa"/>
                  <w:tcBorders>
                    <w:left w:val="single" w:color="000000" w:sz="4" w:space="0"/>
                    <w:bottom w:val="single" w:color="000000" w:sz="4" w:space="0"/>
                    <w:right w:val="nil"/>
                  </w:tcBorders>
                  <w:vAlign w:val="center"/>
                </w:tcPr>
                <w:p>
                  <w:pPr>
                    <w:pStyle w:val="12"/>
                    <w:rPr>
                      <w:rFonts w:ascii="Times New Roman" w:hAnsi="Times New Roman" w:eastAsia="宋体"/>
                      <w:b/>
                      <w:bCs/>
                      <w:sz w:val="21"/>
                      <w:szCs w:val="21"/>
                    </w:rPr>
                  </w:pPr>
                  <w:r>
                    <w:rPr>
                      <w:rFonts w:hint="eastAsia" w:ascii="Times New Roman" w:hAnsi="Times New Roman" w:eastAsia="宋体"/>
                      <w:b/>
                      <w:bCs/>
                      <w:sz w:val="21"/>
                      <w:szCs w:val="21"/>
                    </w:rPr>
                    <w:t>相符性</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510" w:type="dxa"/>
                  <w:vMerge w:val="restart"/>
                  <w:tcBorders>
                    <w:top w:val="single" w:color="000000" w:sz="4" w:space="0"/>
                    <w:left w:val="nil"/>
                    <w:right w:val="single" w:color="000000" w:sz="4" w:space="0"/>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1</w:t>
                  </w:r>
                </w:p>
              </w:tc>
              <w:tc>
                <w:tcPr>
                  <w:tcW w:w="555" w:type="dxa"/>
                  <w:vMerge w:val="restart"/>
                  <w:tcBorders>
                    <w:top w:val="single" w:color="000000" w:sz="4" w:space="0"/>
                    <w:left w:val="single" w:color="000000" w:sz="4" w:space="0"/>
                    <w:right w:val="single" w:color="000000" w:sz="4" w:space="0"/>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空间布局约束</w:t>
                  </w:r>
                </w:p>
              </w:tc>
              <w:tc>
                <w:tcPr>
                  <w:tcW w:w="4875" w:type="dxa"/>
                  <w:tcBorders>
                    <w:top w:val="single" w:color="000000" w:sz="4" w:space="0"/>
                    <w:left w:val="single" w:color="000000" w:sz="4" w:space="0"/>
                    <w:bottom w:val="single" w:color="000000" w:sz="4" w:space="0"/>
                    <w:right w:val="single" w:color="000000" w:sz="4" w:space="0"/>
                  </w:tcBorders>
                  <w:vAlign w:val="center"/>
                </w:tcPr>
                <w:p>
                  <w:pPr>
                    <w:pStyle w:val="12"/>
                    <w:wordWrap w:val="0"/>
                    <w:rPr>
                      <w:rFonts w:ascii="Times New Roman" w:hAnsi="Times New Roman" w:eastAsia="宋体"/>
                      <w:sz w:val="21"/>
                      <w:szCs w:val="21"/>
                    </w:rPr>
                  </w:pPr>
                  <w:r>
                    <w:rPr>
                      <w:rFonts w:hint="eastAsia" w:ascii="Times New Roman" w:hAnsi="Times New Roman" w:eastAsia="宋体"/>
                      <w:sz w:val="21"/>
                      <w:szCs w:val="21"/>
                    </w:rPr>
                    <w:t>1.禁止引入纺织服装中废水排放量较大的纯印染和纯染整类企业（除金坛时尚织染集聚区）。</w:t>
                  </w:r>
                </w:p>
              </w:tc>
              <w:tc>
                <w:tcPr>
                  <w:tcW w:w="2198" w:type="dxa"/>
                  <w:vMerge w:val="restart"/>
                  <w:tcBorders>
                    <w:top w:val="single" w:color="000000" w:sz="4" w:space="0"/>
                    <w:left w:val="single" w:color="000000" w:sz="4" w:space="0"/>
                    <w:right w:val="nil"/>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本项目为塑料制品生产项目，不属于金坛经济开发区禁止准入项目禁止项目。</w:t>
                  </w:r>
                </w:p>
              </w:tc>
              <w:tc>
                <w:tcPr>
                  <w:tcW w:w="667" w:type="dxa"/>
                  <w:vMerge w:val="restart"/>
                  <w:tcBorders>
                    <w:top w:val="single" w:color="000000" w:sz="4" w:space="0"/>
                    <w:left w:val="single" w:color="000000" w:sz="4" w:space="0"/>
                    <w:right w:val="nil"/>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相符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70" w:hRule="atLeast"/>
              </w:trPr>
              <w:tc>
                <w:tcPr>
                  <w:tcW w:w="510" w:type="dxa"/>
                  <w:vMerge w:val="continue"/>
                  <w:tcBorders>
                    <w:left w:val="nil"/>
                    <w:right w:val="single" w:color="000000" w:sz="4" w:space="0"/>
                  </w:tcBorders>
                  <w:vAlign w:val="center"/>
                </w:tcPr>
                <w:p>
                  <w:pPr>
                    <w:pStyle w:val="12"/>
                    <w:wordWrap w:val="0"/>
                    <w:jc w:val="left"/>
                  </w:pPr>
                </w:p>
              </w:tc>
              <w:tc>
                <w:tcPr>
                  <w:tcW w:w="555" w:type="dxa"/>
                  <w:vMerge w:val="continue"/>
                  <w:tcBorders>
                    <w:left w:val="single" w:color="000000" w:sz="4" w:space="0"/>
                    <w:right w:val="single" w:color="000000" w:sz="4" w:space="0"/>
                  </w:tcBorders>
                  <w:vAlign w:val="center"/>
                </w:tcPr>
                <w:p>
                  <w:pPr>
                    <w:pStyle w:val="12"/>
                    <w:wordWrap w:val="0"/>
                    <w:jc w:val="left"/>
                  </w:pPr>
                </w:p>
              </w:tc>
              <w:tc>
                <w:tcPr>
                  <w:tcW w:w="4875" w:type="dxa"/>
                  <w:tcBorders>
                    <w:top w:val="single" w:color="000000" w:sz="4" w:space="0"/>
                    <w:left w:val="single" w:color="000000" w:sz="4" w:space="0"/>
                    <w:bottom w:val="single" w:color="000000" w:sz="4" w:space="0"/>
                    <w:right w:val="single" w:color="000000" w:sz="4" w:space="0"/>
                  </w:tcBorders>
                  <w:vAlign w:val="center"/>
                </w:tcPr>
                <w:p>
                  <w:pPr>
                    <w:pStyle w:val="12"/>
                    <w:wordWrap w:val="0"/>
                    <w:rPr>
                      <w:rFonts w:ascii="Times New Roman" w:hAnsi="Times New Roman" w:eastAsia="宋体"/>
                      <w:sz w:val="21"/>
                      <w:szCs w:val="21"/>
                    </w:rPr>
                  </w:pPr>
                  <w:r>
                    <w:rPr>
                      <w:rFonts w:hint="eastAsia" w:ascii="Times New Roman" w:hAnsi="Times New Roman" w:eastAsia="宋体"/>
                      <w:sz w:val="21"/>
                      <w:szCs w:val="21"/>
                    </w:rPr>
                    <w:t>2.禁止引入机械电子、高端装备制造业中电镀、表面</w:t>
                  </w:r>
                  <w:r>
                    <w:rPr>
                      <w:rFonts w:hint="eastAsia" w:ascii="Times New Roman" w:hAnsi="Times New Roman" w:eastAsia="宋体"/>
                      <w:sz w:val="21"/>
                      <w:szCs w:val="21"/>
                      <w:highlight w:val="none"/>
                    </w:rPr>
                    <w:t>处理类企</w:t>
                  </w:r>
                  <w:r>
                    <w:rPr>
                      <w:rFonts w:hint="eastAsia" w:ascii="Times New Roman" w:hAnsi="Times New Roman" w:eastAsia="宋体"/>
                      <w:sz w:val="21"/>
                      <w:szCs w:val="21"/>
                    </w:rPr>
                    <w:t>业，淘汰、限制类的如普通高速钢钻头、铣刀、 锯片、丝锥、板牙项目、普通微小型球轴承制造项目； 禁止生产国家禁止或公告停止销售的车辆；有害物质含 量超标准的汽车。</w:t>
                  </w:r>
                </w:p>
              </w:tc>
              <w:tc>
                <w:tcPr>
                  <w:tcW w:w="2198" w:type="dxa"/>
                  <w:vMerge w:val="continue"/>
                  <w:tcBorders>
                    <w:left w:val="single" w:color="000000" w:sz="4" w:space="0"/>
                    <w:right w:val="nil"/>
                  </w:tcBorders>
                  <w:vAlign w:val="center"/>
                </w:tcPr>
                <w:p>
                  <w:pPr>
                    <w:pStyle w:val="12"/>
                    <w:wordWrap w:val="0"/>
                    <w:jc w:val="left"/>
                    <w:rPr>
                      <w:rFonts w:ascii="Times New Roman" w:hAnsi="Times New Roman" w:eastAsia="宋体"/>
                      <w:sz w:val="21"/>
                      <w:szCs w:val="21"/>
                    </w:rPr>
                  </w:pPr>
                </w:p>
              </w:tc>
              <w:tc>
                <w:tcPr>
                  <w:tcW w:w="667" w:type="dxa"/>
                  <w:vMerge w:val="continue"/>
                  <w:tcBorders>
                    <w:left w:val="single" w:color="000000" w:sz="4" w:space="0"/>
                    <w:right w:val="nil"/>
                  </w:tcBorders>
                  <w:vAlign w:val="center"/>
                </w:tcPr>
                <w:p>
                  <w:pPr>
                    <w:pStyle w:val="12"/>
                    <w:wordWrap w:val="0"/>
                    <w:jc w:val="left"/>
                    <w:rPr>
                      <w:rFonts w:ascii="Times New Roman" w:hAnsi="Times New Roman"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510" w:type="dxa"/>
                  <w:vMerge w:val="continue"/>
                  <w:tcBorders>
                    <w:left w:val="nil"/>
                    <w:right w:val="single" w:color="000000" w:sz="4" w:space="0"/>
                  </w:tcBorders>
                  <w:vAlign w:val="center"/>
                </w:tcPr>
                <w:p>
                  <w:pPr>
                    <w:pStyle w:val="12"/>
                    <w:wordWrap w:val="0"/>
                    <w:jc w:val="left"/>
                    <w:rPr>
                      <w:rFonts w:ascii="Times New Roman" w:hAnsi="Times New Roman" w:eastAsia="宋体"/>
                      <w:sz w:val="21"/>
                      <w:szCs w:val="21"/>
                    </w:rPr>
                  </w:pPr>
                </w:p>
              </w:tc>
              <w:tc>
                <w:tcPr>
                  <w:tcW w:w="555" w:type="dxa"/>
                  <w:vMerge w:val="continue"/>
                  <w:tcBorders>
                    <w:left w:val="single" w:color="000000" w:sz="4" w:space="0"/>
                    <w:right w:val="single" w:color="000000" w:sz="4" w:space="0"/>
                  </w:tcBorders>
                  <w:vAlign w:val="center"/>
                </w:tcPr>
                <w:p>
                  <w:pPr>
                    <w:pStyle w:val="12"/>
                    <w:wordWrap w:val="0"/>
                    <w:jc w:val="left"/>
                    <w:rPr>
                      <w:rFonts w:ascii="Times New Roman" w:hAnsi="Times New Roman" w:eastAsia="宋体"/>
                      <w:sz w:val="21"/>
                      <w:szCs w:val="21"/>
                    </w:rPr>
                  </w:pPr>
                </w:p>
              </w:tc>
              <w:tc>
                <w:tcPr>
                  <w:tcW w:w="4875" w:type="dxa"/>
                  <w:tcBorders>
                    <w:top w:val="single" w:color="000000" w:sz="4" w:space="0"/>
                    <w:left w:val="single" w:color="000000" w:sz="4" w:space="0"/>
                    <w:bottom w:val="single" w:color="000000" w:sz="4" w:space="0"/>
                    <w:right w:val="single" w:color="000000" w:sz="4" w:space="0"/>
                  </w:tcBorders>
                  <w:vAlign w:val="center"/>
                </w:tcPr>
                <w:p>
                  <w:pPr>
                    <w:pStyle w:val="12"/>
                    <w:wordWrap w:val="0"/>
                    <w:rPr>
                      <w:rFonts w:ascii="Times New Roman" w:hAnsi="Times New Roman" w:eastAsia="宋体"/>
                      <w:sz w:val="21"/>
                      <w:szCs w:val="21"/>
                    </w:rPr>
                  </w:pPr>
                  <w:r>
                    <w:rPr>
                      <w:rFonts w:hint="eastAsia" w:ascii="Times New Roman" w:hAnsi="Times New Roman" w:eastAsia="宋体"/>
                      <w:sz w:val="21"/>
                      <w:szCs w:val="21"/>
                    </w:rPr>
                    <w:t>3.禁止引入化工中与盐化工及下游产品生产不相关的化工项目。</w:t>
                  </w:r>
                </w:p>
              </w:tc>
              <w:tc>
                <w:tcPr>
                  <w:tcW w:w="2198" w:type="dxa"/>
                  <w:vMerge w:val="continue"/>
                  <w:tcBorders>
                    <w:left w:val="single" w:color="000000" w:sz="4" w:space="0"/>
                    <w:right w:val="nil"/>
                  </w:tcBorders>
                  <w:vAlign w:val="center"/>
                </w:tcPr>
                <w:p>
                  <w:pPr>
                    <w:pStyle w:val="12"/>
                    <w:wordWrap w:val="0"/>
                    <w:jc w:val="left"/>
                    <w:rPr>
                      <w:rFonts w:ascii="Times New Roman" w:hAnsi="Times New Roman" w:eastAsia="宋体"/>
                      <w:sz w:val="21"/>
                      <w:szCs w:val="21"/>
                    </w:rPr>
                  </w:pPr>
                </w:p>
              </w:tc>
              <w:tc>
                <w:tcPr>
                  <w:tcW w:w="667" w:type="dxa"/>
                  <w:vMerge w:val="continue"/>
                  <w:tcBorders>
                    <w:left w:val="single" w:color="000000" w:sz="4" w:space="0"/>
                    <w:right w:val="nil"/>
                  </w:tcBorders>
                  <w:vAlign w:val="center"/>
                </w:tcPr>
                <w:p>
                  <w:pPr>
                    <w:pStyle w:val="12"/>
                    <w:wordWrap w:val="0"/>
                    <w:jc w:val="left"/>
                    <w:rPr>
                      <w:rFonts w:ascii="Times New Roman" w:hAnsi="Times New Roman"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5" w:hRule="atLeast"/>
              </w:trPr>
              <w:tc>
                <w:tcPr>
                  <w:tcW w:w="510" w:type="dxa"/>
                  <w:vMerge w:val="continue"/>
                  <w:tcBorders>
                    <w:left w:val="nil"/>
                    <w:right w:val="single" w:color="000000" w:sz="4" w:space="0"/>
                  </w:tcBorders>
                  <w:vAlign w:val="center"/>
                </w:tcPr>
                <w:p>
                  <w:pPr>
                    <w:pStyle w:val="12"/>
                    <w:wordWrap w:val="0"/>
                    <w:jc w:val="left"/>
                    <w:rPr>
                      <w:rFonts w:ascii="Times New Roman" w:hAnsi="Times New Roman" w:eastAsia="宋体"/>
                      <w:sz w:val="21"/>
                      <w:szCs w:val="21"/>
                    </w:rPr>
                  </w:pPr>
                </w:p>
              </w:tc>
              <w:tc>
                <w:tcPr>
                  <w:tcW w:w="555" w:type="dxa"/>
                  <w:vMerge w:val="continue"/>
                  <w:tcBorders>
                    <w:left w:val="single" w:color="000000" w:sz="4" w:space="0"/>
                    <w:right w:val="single" w:color="000000" w:sz="4" w:space="0"/>
                  </w:tcBorders>
                  <w:vAlign w:val="center"/>
                </w:tcPr>
                <w:p>
                  <w:pPr>
                    <w:pStyle w:val="12"/>
                    <w:wordWrap w:val="0"/>
                    <w:jc w:val="left"/>
                    <w:rPr>
                      <w:rFonts w:ascii="Times New Roman" w:hAnsi="Times New Roman" w:eastAsia="宋体"/>
                      <w:sz w:val="21"/>
                      <w:szCs w:val="21"/>
                    </w:rPr>
                  </w:pPr>
                </w:p>
              </w:tc>
              <w:tc>
                <w:tcPr>
                  <w:tcW w:w="4875" w:type="dxa"/>
                  <w:tcBorders>
                    <w:top w:val="single" w:color="000000" w:sz="4" w:space="0"/>
                    <w:left w:val="single" w:color="000000" w:sz="4" w:space="0"/>
                    <w:bottom w:val="single" w:color="000000" w:sz="4" w:space="0"/>
                    <w:right w:val="single" w:color="000000" w:sz="4" w:space="0"/>
                  </w:tcBorders>
                  <w:vAlign w:val="center"/>
                </w:tcPr>
                <w:p>
                  <w:pPr>
                    <w:pStyle w:val="12"/>
                    <w:wordWrap w:val="0"/>
                    <w:rPr>
                      <w:rFonts w:ascii="Times New Roman" w:hAnsi="Times New Roman" w:eastAsia="宋体"/>
                      <w:sz w:val="21"/>
                      <w:szCs w:val="21"/>
                    </w:rPr>
                  </w:pPr>
                  <w:r>
                    <w:rPr>
                      <w:rFonts w:hint="eastAsia" w:ascii="Times New Roman" w:hAnsi="Times New Roman" w:eastAsia="宋体"/>
                      <w:sz w:val="21"/>
                      <w:szCs w:val="21"/>
                    </w:rPr>
                    <w:t>4.禁止引入新材料产业中太阳能电池切片生产项目。</w:t>
                  </w:r>
                </w:p>
              </w:tc>
              <w:tc>
                <w:tcPr>
                  <w:tcW w:w="2198" w:type="dxa"/>
                  <w:vMerge w:val="continue"/>
                  <w:tcBorders>
                    <w:left w:val="single" w:color="000000" w:sz="4" w:space="0"/>
                    <w:right w:val="nil"/>
                  </w:tcBorders>
                  <w:vAlign w:val="center"/>
                </w:tcPr>
                <w:p>
                  <w:pPr>
                    <w:pStyle w:val="12"/>
                    <w:wordWrap w:val="0"/>
                    <w:jc w:val="left"/>
                    <w:rPr>
                      <w:rFonts w:ascii="Times New Roman" w:hAnsi="Times New Roman" w:eastAsia="宋体"/>
                      <w:sz w:val="21"/>
                      <w:szCs w:val="21"/>
                    </w:rPr>
                  </w:pPr>
                </w:p>
              </w:tc>
              <w:tc>
                <w:tcPr>
                  <w:tcW w:w="667" w:type="dxa"/>
                  <w:vMerge w:val="continue"/>
                  <w:tcBorders>
                    <w:left w:val="single" w:color="000000" w:sz="4" w:space="0"/>
                    <w:right w:val="nil"/>
                  </w:tcBorders>
                  <w:vAlign w:val="center"/>
                </w:tcPr>
                <w:p>
                  <w:pPr>
                    <w:pStyle w:val="12"/>
                    <w:wordWrap w:val="0"/>
                    <w:jc w:val="left"/>
                    <w:rPr>
                      <w:rFonts w:ascii="Times New Roman" w:hAnsi="Times New Roman"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510" w:type="dxa"/>
                  <w:vMerge w:val="continue"/>
                  <w:tcBorders>
                    <w:left w:val="nil"/>
                    <w:right w:val="single" w:color="000000" w:sz="4" w:space="0"/>
                  </w:tcBorders>
                  <w:vAlign w:val="center"/>
                </w:tcPr>
                <w:p>
                  <w:pPr>
                    <w:pStyle w:val="12"/>
                    <w:wordWrap w:val="0"/>
                    <w:jc w:val="left"/>
                    <w:rPr>
                      <w:rFonts w:ascii="Times New Roman" w:hAnsi="Times New Roman" w:eastAsia="宋体"/>
                      <w:sz w:val="21"/>
                      <w:szCs w:val="21"/>
                    </w:rPr>
                  </w:pPr>
                </w:p>
              </w:tc>
              <w:tc>
                <w:tcPr>
                  <w:tcW w:w="555" w:type="dxa"/>
                  <w:vMerge w:val="continue"/>
                  <w:tcBorders>
                    <w:left w:val="single" w:color="000000" w:sz="4" w:space="0"/>
                    <w:right w:val="single" w:color="000000" w:sz="4" w:space="0"/>
                  </w:tcBorders>
                  <w:vAlign w:val="center"/>
                </w:tcPr>
                <w:p>
                  <w:pPr>
                    <w:pStyle w:val="12"/>
                    <w:wordWrap w:val="0"/>
                    <w:jc w:val="left"/>
                    <w:rPr>
                      <w:rFonts w:ascii="Times New Roman" w:hAnsi="Times New Roman" w:eastAsia="宋体"/>
                      <w:sz w:val="21"/>
                      <w:szCs w:val="21"/>
                    </w:rPr>
                  </w:pPr>
                </w:p>
              </w:tc>
              <w:tc>
                <w:tcPr>
                  <w:tcW w:w="4875" w:type="dxa"/>
                  <w:tcBorders>
                    <w:top w:val="single" w:color="000000" w:sz="4" w:space="0"/>
                    <w:left w:val="single" w:color="000000" w:sz="4" w:space="0"/>
                    <w:bottom w:val="single" w:color="000000" w:sz="4" w:space="0"/>
                    <w:right w:val="single" w:color="000000" w:sz="4" w:space="0"/>
                  </w:tcBorders>
                  <w:vAlign w:val="center"/>
                </w:tcPr>
                <w:p>
                  <w:pPr>
                    <w:pStyle w:val="12"/>
                    <w:wordWrap w:val="0"/>
                    <w:rPr>
                      <w:rFonts w:ascii="Times New Roman" w:hAnsi="Times New Roman" w:eastAsia="宋体"/>
                      <w:sz w:val="21"/>
                      <w:szCs w:val="21"/>
                    </w:rPr>
                  </w:pPr>
                  <w:r>
                    <w:rPr>
                      <w:rFonts w:ascii="Times New Roman" w:hAnsi="Times New Roman" w:eastAsia="宋体"/>
                      <w:sz w:val="21"/>
                      <w:szCs w:val="21"/>
                    </w:rPr>
                    <w:t>5.</w:t>
                  </w:r>
                  <w:r>
                    <w:rPr>
                      <w:rFonts w:hint="eastAsia" w:ascii="Times New Roman" w:hAnsi="Times New Roman" w:eastAsia="宋体"/>
                      <w:sz w:val="21"/>
                      <w:szCs w:val="21"/>
                    </w:rPr>
                    <w:t>禁止引入化工新材料中钢铁等传统型金属材料；水泥 等传统型非金属材料。</w:t>
                  </w:r>
                </w:p>
              </w:tc>
              <w:tc>
                <w:tcPr>
                  <w:tcW w:w="2198" w:type="dxa"/>
                  <w:vMerge w:val="continue"/>
                  <w:tcBorders>
                    <w:left w:val="single" w:color="000000" w:sz="4" w:space="0"/>
                    <w:right w:val="nil"/>
                  </w:tcBorders>
                  <w:vAlign w:val="center"/>
                </w:tcPr>
                <w:p>
                  <w:pPr>
                    <w:pStyle w:val="12"/>
                    <w:wordWrap w:val="0"/>
                    <w:jc w:val="left"/>
                    <w:rPr>
                      <w:rFonts w:ascii="Times New Roman" w:hAnsi="Times New Roman" w:eastAsia="宋体"/>
                      <w:sz w:val="21"/>
                      <w:szCs w:val="21"/>
                    </w:rPr>
                  </w:pPr>
                </w:p>
              </w:tc>
              <w:tc>
                <w:tcPr>
                  <w:tcW w:w="667" w:type="dxa"/>
                  <w:vMerge w:val="continue"/>
                  <w:tcBorders>
                    <w:left w:val="single" w:color="000000" w:sz="4" w:space="0"/>
                    <w:right w:val="nil"/>
                  </w:tcBorders>
                  <w:vAlign w:val="center"/>
                </w:tcPr>
                <w:p>
                  <w:pPr>
                    <w:pStyle w:val="12"/>
                    <w:wordWrap w:val="0"/>
                    <w:jc w:val="left"/>
                    <w:rPr>
                      <w:rFonts w:ascii="Times New Roman" w:hAnsi="Times New Roman"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510" w:type="dxa"/>
                  <w:vMerge w:val="continue"/>
                  <w:tcBorders>
                    <w:left w:val="nil"/>
                    <w:bottom w:val="single" w:color="000000" w:sz="4" w:space="0"/>
                    <w:right w:val="single" w:color="000000" w:sz="4" w:space="0"/>
                  </w:tcBorders>
                  <w:vAlign w:val="center"/>
                </w:tcPr>
                <w:p>
                  <w:pPr>
                    <w:pStyle w:val="12"/>
                    <w:wordWrap w:val="0"/>
                    <w:jc w:val="left"/>
                    <w:rPr>
                      <w:rFonts w:ascii="Times New Roman" w:hAnsi="Times New Roman" w:eastAsia="宋体"/>
                      <w:sz w:val="21"/>
                      <w:szCs w:val="21"/>
                    </w:rPr>
                  </w:pPr>
                </w:p>
              </w:tc>
              <w:tc>
                <w:tcPr>
                  <w:tcW w:w="555" w:type="dxa"/>
                  <w:vMerge w:val="continue"/>
                  <w:tcBorders>
                    <w:left w:val="single" w:color="000000" w:sz="4" w:space="0"/>
                    <w:bottom w:val="single" w:color="000000" w:sz="4" w:space="0"/>
                    <w:right w:val="single" w:color="000000" w:sz="4" w:space="0"/>
                  </w:tcBorders>
                  <w:vAlign w:val="center"/>
                </w:tcPr>
                <w:p>
                  <w:pPr>
                    <w:pStyle w:val="12"/>
                    <w:wordWrap w:val="0"/>
                    <w:jc w:val="left"/>
                    <w:rPr>
                      <w:rFonts w:ascii="Times New Roman" w:hAnsi="Times New Roman" w:eastAsia="宋体"/>
                      <w:sz w:val="21"/>
                      <w:szCs w:val="21"/>
                    </w:rPr>
                  </w:pPr>
                </w:p>
              </w:tc>
              <w:tc>
                <w:tcPr>
                  <w:tcW w:w="4875" w:type="dxa"/>
                  <w:tcBorders>
                    <w:top w:val="single" w:color="000000" w:sz="4" w:space="0"/>
                    <w:left w:val="single" w:color="000000" w:sz="4" w:space="0"/>
                    <w:bottom w:val="single" w:color="000000" w:sz="4" w:space="0"/>
                    <w:right w:val="single" w:color="000000" w:sz="4" w:space="0"/>
                  </w:tcBorders>
                  <w:vAlign w:val="center"/>
                </w:tcPr>
                <w:p>
                  <w:pPr>
                    <w:pStyle w:val="12"/>
                    <w:wordWrap w:val="0"/>
                    <w:rPr>
                      <w:rFonts w:ascii="Times New Roman" w:hAnsi="Times New Roman" w:eastAsia="宋体"/>
                      <w:sz w:val="21"/>
                      <w:szCs w:val="21"/>
                    </w:rPr>
                  </w:pPr>
                  <w:r>
                    <w:rPr>
                      <w:rFonts w:hint="eastAsia" w:ascii="Times New Roman" w:hAnsi="Times New Roman" w:eastAsia="宋体"/>
                      <w:sz w:val="21"/>
                      <w:szCs w:val="21"/>
                    </w:rPr>
                    <w:t>6.禁止引入新医药产业中不符合 GMP 要求的安瓿拉丝 灌封机、劳动保护、安瓿灌装注射用无菌粉末、非易折安瓿等。</w:t>
                  </w:r>
                </w:p>
              </w:tc>
              <w:tc>
                <w:tcPr>
                  <w:tcW w:w="2198" w:type="dxa"/>
                  <w:vMerge w:val="continue"/>
                  <w:tcBorders>
                    <w:left w:val="single" w:color="000000" w:sz="4" w:space="0"/>
                    <w:bottom w:val="single" w:color="000000" w:sz="4" w:space="0"/>
                    <w:right w:val="nil"/>
                  </w:tcBorders>
                  <w:vAlign w:val="center"/>
                </w:tcPr>
                <w:p>
                  <w:pPr>
                    <w:pStyle w:val="12"/>
                    <w:wordWrap w:val="0"/>
                    <w:jc w:val="left"/>
                    <w:rPr>
                      <w:rFonts w:ascii="Times New Roman" w:hAnsi="Times New Roman" w:eastAsia="宋体"/>
                      <w:sz w:val="21"/>
                      <w:szCs w:val="21"/>
                    </w:rPr>
                  </w:pPr>
                </w:p>
              </w:tc>
              <w:tc>
                <w:tcPr>
                  <w:tcW w:w="667" w:type="dxa"/>
                  <w:vMerge w:val="continue"/>
                  <w:tcBorders>
                    <w:left w:val="single" w:color="000000" w:sz="4" w:space="0"/>
                    <w:bottom w:val="single" w:color="000000" w:sz="4" w:space="0"/>
                    <w:right w:val="nil"/>
                  </w:tcBorders>
                  <w:vAlign w:val="center"/>
                </w:tcPr>
                <w:p>
                  <w:pPr>
                    <w:pStyle w:val="12"/>
                    <w:wordWrap w:val="0"/>
                    <w:jc w:val="left"/>
                    <w:rPr>
                      <w:rFonts w:ascii="Times New Roman" w:hAnsi="Times New Roman"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97" w:hRule="atLeast"/>
              </w:trPr>
              <w:tc>
                <w:tcPr>
                  <w:tcW w:w="510" w:type="dxa"/>
                  <w:vMerge w:val="restart"/>
                  <w:tcBorders>
                    <w:top w:val="single" w:color="000000" w:sz="4" w:space="0"/>
                    <w:left w:val="nil"/>
                    <w:right w:val="single" w:color="000000" w:sz="4" w:space="0"/>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2</w:t>
                  </w:r>
                </w:p>
              </w:tc>
              <w:tc>
                <w:tcPr>
                  <w:tcW w:w="555" w:type="dxa"/>
                  <w:vMerge w:val="restart"/>
                  <w:tcBorders>
                    <w:top w:val="single" w:color="000000" w:sz="4" w:space="0"/>
                    <w:left w:val="single" w:color="000000" w:sz="4" w:space="0"/>
                    <w:right w:val="single" w:color="000000" w:sz="4" w:space="0"/>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污染排放管控</w:t>
                  </w:r>
                </w:p>
              </w:tc>
              <w:tc>
                <w:tcPr>
                  <w:tcW w:w="4875" w:type="dxa"/>
                  <w:tcBorders>
                    <w:top w:val="single" w:color="000000" w:sz="4" w:space="0"/>
                    <w:left w:val="single" w:color="000000" w:sz="4" w:space="0"/>
                    <w:bottom w:val="single" w:color="000000" w:sz="4" w:space="0"/>
                    <w:right w:val="single" w:color="000000" w:sz="4" w:space="0"/>
                  </w:tcBorders>
                  <w:vAlign w:val="center"/>
                </w:tcPr>
                <w:p>
                  <w:pPr>
                    <w:pStyle w:val="12"/>
                    <w:wordWrap w:val="0"/>
                    <w:rPr>
                      <w:rFonts w:ascii="Times New Roman" w:hAnsi="Times New Roman" w:eastAsia="宋体"/>
                      <w:sz w:val="21"/>
                      <w:szCs w:val="21"/>
                    </w:rPr>
                  </w:pPr>
                  <w:r>
                    <w:rPr>
                      <w:rFonts w:hint="eastAsia" w:ascii="Times New Roman" w:hAnsi="Times New Roman" w:eastAsia="宋体"/>
                      <w:sz w:val="21"/>
                      <w:szCs w:val="21"/>
                    </w:rPr>
                    <w:t>1.严格实施污染物总量控制制度，根据区域环境质量改 善目标，采取有效措施减少主要污染物排放总量，确保 区域环境质量持续改善。</w:t>
                  </w:r>
                </w:p>
              </w:tc>
              <w:tc>
                <w:tcPr>
                  <w:tcW w:w="2198" w:type="dxa"/>
                  <w:vMerge w:val="restart"/>
                  <w:tcBorders>
                    <w:top w:val="single" w:color="000000" w:sz="4" w:space="0"/>
                    <w:left w:val="single" w:color="000000" w:sz="4" w:space="0"/>
                    <w:right w:val="nil"/>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本项目生活污水接管至 金坛第二污水处理厂处 理；废气经处理后达标 排放，废气排放总量不 会突破园区环评报告及 批复的总量。</w:t>
                  </w:r>
                </w:p>
              </w:tc>
              <w:tc>
                <w:tcPr>
                  <w:tcW w:w="667" w:type="dxa"/>
                  <w:vMerge w:val="restart"/>
                  <w:tcBorders>
                    <w:top w:val="single" w:color="000000" w:sz="4" w:space="0"/>
                    <w:left w:val="single" w:color="000000" w:sz="4" w:space="0"/>
                    <w:right w:val="nil"/>
                  </w:tcBorders>
                  <w:vAlign w:val="center"/>
                </w:tcPr>
                <w:p>
                  <w:pPr>
                    <w:jc w:val="center"/>
                    <w:rPr>
                      <w:szCs w:val="21"/>
                    </w:rPr>
                  </w:pPr>
                  <w:r>
                    <w:rPr>
                      <w:rFonts w:hint="eastAsia"/>
                      <w:szCs w:val="21"/>
                    </w:rPr>
                    <w:t>相符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97" w:hRule="atLeast"/>
              </w:trPr>
              <w:tc>
                <w:tcPr>
                  <w:tcW w:w="510" w:type="dxa"/>
                  <w:vMerge w:val="continue"/>
                  <w:tcBorders>
                    <w:left w:val="nil"/>
                    <w:bottom w:val="single" w:color="000000" w:sz="4" w:space="0"/>
                    <w:right w:val="single" w:color="000000" w:sz="4" w:space="0"/>
                  </w:tcBorders>
                  <w:vAlign w:val="center"/>
                </w:tcPr>
                <w:p>
                  <w:pPr>
                    <w:pStyle w:val="12"/>
                    <w:jc w:val="left"/>
                  </w:pPr>
                </w:p>
              </w:tc>
              <w:tc>
                <w:tcPr>
                  <w:tcW w:w="555" w:type="dxa"/>
                  <w:vMerge w:val="continue"/>
                  <w:tcBorders>
                    <w:left w:val="single" w:color="000000" w:sz="4" w:space="0"/>
                    <w:bottom w:val="single" w:color="000000" w:sz="4" w:space="0"/>
                    <w:right w:val="single" w:color="000000" w:sz="4" w:space="0"/>
                  </w:tcBorders>
                  <w:vAlign w:val="center"/>
                </w:tcPr>
                <w:p>
                  <w:pPr>
                    <w:pStyle w:val="12"/>
                    <w:jc w:val="left"/>
                  </w:pPr>
                </w:p>
              </w:tc>
              <w:tc>
                <w:tcPr>
                  <w:tcW w:w="4875" w:type="dxa"/>
                  <w:tcBorders>
                    <w:top w:val="single" w:color="000000" w:sz="4" w:space="0"/>
                    <w:left w:val="single" w:color="000000" w:sz="4" w:space="0"/>
                    <w:bottom w:val="single" w:color="000000" w:sz="4" w:space="0"/>
                    <w:right w:val="single" w:color="000000" w:sz="4" w:space="0"/>
                  </w:tcBorders>
                  <w:vAlign w:val="center"/>
                </w:tcPr>
                <w:p>
                  <w:pPr>
                    <w:pStyle w:val="12"/>
                    <w:wordWrap w:val="0"/>
                    <w:rPr>
                      <w:rFonts w:ascii="Times New Roman" w:hAnsi="Times New Roman" w:eastAsia="宋体"/>
                      <w:sz w:val="21"/>
                      <w:szCs w:val="21"/>
                    </w:rPr>
                  </w:pPr>
                  <w:r>
                    <w:rPr>
                      <w:rFonts w:hint="eastAsia" w:ascii="Times New Roman" w:hAnsi="Times New Roman" w:eastAsia="宋体"/>
                      <w:sz w:val="21"/>
                      <w:szCs w:val="21"/>
                    </w:rPr>
                    <w:t>2.园区污染物排放总量不得突破环评报告及批复的总 量。</w:t>
                  </w:r>
                </w:p>
              </w:tc>
              <w:tc>
                <w:tcPr>
                  <w:tcW w:w="2198" w:type="dxa"/>
                  <w:vMerge w:val="continue"/>
                  <w:tcBorders>
                    <w:left w:val="single" w:color="000000" w:sz="4" w:space="0"/>
                    <w:bottom w:val="single" w:color="000000" w:sz="4" w:space="0"/>
                    <w:right w:val="nil"/>
                  </w:tcBorders>
                  <w:vAlign w:val="center"/>
                </w:tcPr>
                <w:p>
                  <w:pPr>
                    <w:pStyle w:val="12"/>
                    <w:jc w:val="left"/>
                    <w:rPr>
                      <w:rFonts w:ascii="Times New Roman" w:hAnsi="Times New Roman" w:eastAsia="宋体"/>
                      <w:sz w:val="21"/>
                      <w:szCs w:val="21"/>
                    </w:rPr>
                  </w:pPr>
                </w:p>
              </w:tc>
              <w:tc>
                <w:tcPr>
                  <w:tcW w:w="667" w:type="dxa"/>
                  <w:vMerge w:val="continue"/>
                  <w:tcBorders>
                    <w:left w:val="single" w:color="000000" w:sz="4" w:space="0"/>
                    <w:bottom w:val="single" w:color="000000" w:sz="4" w:space="0"/>
                    <w:right w:val="nil"/>
                  </w:tcBorders>
                  <w:vAlign w:val="center"/>
                </w:tcPr>
                <w:p>
                  <w:pPr>
                    <w:pStyle w:val="12"/>
                    <w:jc w:val="left"/>
                    <w:rPr>
                      <w:rFonts w:ascii="Times New Roman" w:hAnsi="Times New Roman"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8" w:hRule="atLeast"/>
              </w:trPr>
              <w:tc>
                <w:tcPr>
                  <w:tcW w:w="510" w:type="dxa"/>
                  <w:vMerge w:val="restart"/>
                  <w:tcBorders>
                    <w:top w:val="single" w:color="000000" w:sz="4" w:space="0"/>
                    <w:left w:val="nil"/>
                    <w:right w:val="single" w:color="000000" w:sz="4" w:space="0"/>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3</w:t>
                  </w:r>
                </w:p>
              </w:tc>
              <w:tc>
                <w:tcPr>
                  <w:tcW w:w="555" w:type="dxa"/>
                  <w:vMerge w:val="restart"/>
                  <w:tcBorders>
                    <w:top w:val="single" w:color="000000" w:sz="4" w:space="0"/>
                    <w:left w:val="single" w:color="000000" w:sz="4" w:space="0"/>
                    <w:right w:val="single" w:color="000000" w:sz="4" w:space="0"/>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环境风险管控</w:t>
                  </w:r>
                </w:p>
              </w:tc>
              <w:tc>
                <w:tcPr>
                  <w:tcW w:w="4875" w:type="dxa"/>
                  <w:tcBorders>
                    <w:top w:val="single" w:color="000000" w:sz="4" w:space="0"/>
                    <w:left w:val="single" w:color="000000" w:sz="4" w:space="0"/>
                    <w:bottom w:val="single" w:color="000000" w:sz="4" w:space="0"/>
                    <w:right w:val="single" w:color="000000" w:sz="4" w:space="0"/>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1.园区建立环境应急体系，完善事故应急救援体系，加强应急物资装备储备，编制突发环境事件应急预案，定期开展演练。</w:t>
                  </w:r>
                </w:p>
              </w:tc>
              <w:tc>
                <w:tcPr>
                  <w:tcW w:w="2198" w:type="dxa"/>
                  <w:vMerge w:val="restart"/>
                  <w:tcBorders>
                    <w:top w:val="single" w:color="000000" w:sz="4" w:space="0"/>
                    <w:left w:val="single" w:color="000000" w:sz="4" w:space="0"/>
                    <w:right w:val="nil"/>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项目建成后，建设单位应及时委托专业单位编制突发环境事件应急预案；项目建成后加强环境影响跟踪监测，建立健全各环境要素监控体系。</w:t>
                  </w:r>
                </w:p>
              </w:tc>
              <w:tc>
                <w:tcPr>
                  <w:tcW w:w="667" w:type="dxa"/>
                  <w:vMerge w:val="restart"/>
                  <w:tcBorders>
                    <w:top w:val="single" w:color="000000" w:sz="4" w:space="0"/>
                    <w:left w:val="single" w:color="000000" w:sz="4" w:space="0"/>
                    <w:right w:val="nil"/>
                  </w:tcBorders>
                  <w:vAlign w:val="center"/>
                </w:tcPr>
                <w:p>
                  <w:pPr>
                    <w:jc w:val="center"/>
                    <w:rPr>
                      <w:szCs w:val="21"/>
                    </w:rPr>
                  </w:pPr>
                  <w:r>
                    <w:rPr>
                      <w:rFonts w:hint="eastAsia"/>
                      <w:szCs w:val="21"/>
                    </w:rPr>
                    <w:t>相符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8" w:hRule="atLeast"/>
              </w:trPr>
              <w:tc>
                <w:tcPr>
                  <w:tcW w:w="510" w:type="dxa"/>
                  <w:vMerge w:val="continue"/>
                  <w:tcBorders>
                    <w:left w:val="nil"/>
                    <w:right w:val="single" w:color="000000" w:sz="4" w:space="0"/>
                  </w:tcBorders>
                  <w:vAlign w:val="center"/>
                </w:tcPr>
                <w:p>
                  <w:pPr>
                    <w:pStyle w:val="12"/>
                    <w:jc w:val="both"/>
                  </w:pPr>
                </w:p>
              </w:tc>
              <w:tc>
                <w:tcPr>
                  <w:tcW w:w="555" w:type="dxa"/>
                  <w:vMerge w:val="continue"/>
                  <w:tcBorders>
                    <w:left w:val="single" w:color="000000" w:sz="4" w:space="0"/>
                    <w:right w:val="single" w:color="000000" w:sz="4" w:space="0"/>
                  </w:tcBorders>
                  <w:vAlign w:val="center"/>
                </w:tcPr>
                <w:p>
                  <w:pPr>
                    <w:pStyle w:val="12"/>
                    <w:jc w:val="both"/>
                  </w:pPr>
                </w:p>
              </w:tc>
              <w:tc>
                <w:tcPr>
                  <w:tcW w:w="4875" w:type="dxa"/>
                  <w:tcBorders>
                    <w:top w:val="single" w:color="000000" w:sz="4" w:space="0"/>
                    <w:left w:val="single" w:color="000000" w:sz="4" w:space="0"/>
                    <w:bottom w:val="single" w:color="000000" w:sz="4" w:space="0"/>
                    <w:right w:val="single" w:color="000000" w:sz="4" w:space="0"/>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2.生产、使用、储存危险化学品或其他存在环境风险的企事业单位，应当制定风险防范措施，编制完善突发环境事件应急预案，防止发生环境污染事故。</w:t>
                  </w:r>
                </w:p>
              </w:tc>
              <w:tc>
                <w:tcPr>
                  <w:tcW w:w="2198" w:type="dxa"/>
                  <w:vMerge w:val="continue"/>
                  <w:tcBorders>
                    <w:left w:val="single" w:color="000000" w:sz="4" w:space="0"/>
                    <w:right w:val="nil"/>
                  </w:tcBorders>
                  <w:vAlign w:val="center"/>
                </w:tcPr>
                <w:p>
                  <w:pPr>
                    <w:pStyle w:val="12"/>
                    <w:jc w:val="both"/>
                    <w:rPr>
                      <w:rFonts w:ascii="Times New Roman" w:hAnsi="Times New Roman" w:eastAsia="宋体"/>
                      <w:sz w:val="21"/>
                      <w:szCs w:val="21"/>
                    </w:rPr>
                  </w:pPr>
                </w:p>
              </w:tc>
              <w:tc>
                <w:tcPr>
                  <w:tcW w:w="667" w:type="dxa"/>
                  <w:vMerge w:val="continue"/>
                  <w:tcBorders>
                    <w:left w:val="single" w:color="000000" w:sz="4" w:space="0"/>
                    <w:right w:val="nil"/>
                  </w:tcBorders>
                  <w:vAlign w:val="center"/>
                </w:tcPr>
                <w:p>
                  <w:pPr>
                    <w:pStyle w:val="12"/>
                    <w:jc w:val="both"/>
                    <w:rPr>
                      <w:rFonts w:ascii="Times New Roman" w:hAnsi="Times New Roman"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91" w:hRule="atLeast"/>
              </w:trPr>
              <w:tc>
                <w:tcPr>
                  <w:tcW w:w="510" w:type="dxa"/>
                  <w:vMerge w:val="continue"/>
                  <w:tcBorders>
                    <w:left w:val="nil"/>
                    <w:bottom w:val="single" w:color="000000" w:sz="4" w:space="0"/>
                    <w:right w:val="single" w:color="000000" w:sz="4" w:space="0"/>
                  </w:tcBorders>
                  <w:vAlign w:val="center"/>
                </w:tcPr>
                <w:p>
                  <w:pPr>
                    <w:pStyle w:val="12"/>
                    <w:jc w:val="both"/>
                    <w:rPr>
                      <w:rFonts w:ascii="Times New Roman" w:hAnsi="Times New Roman" w:eastAsia="宋体"/>
                      <w:sz w:val="21"/>
                      <w:szCs w:val="21"/>
                    </w:rPr>
                  </w:pPr>
                </w:p>
              </w:tc>
              <w:tc>
                <w:tcPr>
                  <w:tcW w:w="555" w:type="dxa"/>
                  <w:vMerge w:val="continue"/>
                  <w:tcBorders>
                    <w:left w:val="single" w:color="000000" w:sz="4" w:space="0"/>
                    <w:bottom w:val="single" w:color="000000" w:sz="4" w:space="0"/>
                    <w:right w:val="single" w:color="000000" w:sz="4" w:space="0"/>
                  </w:tcBorders>
                  <w:vAlign w:val="center"/>
                </w:tcPr>
                <w:p>
                  <w:pPr>
                    <w:pStyle w:val="12"/>
                    <w:jc w:val="both"/>
                    <w:rPr>
                      <w:rFonts w:ascii="Times New Roman" w:hAnsi="Times New Roman" w:eastAsia="宋体"/>
                      <w:sz w:val="21"/>
                      <w:szCs w:val="21"/>
                    </w:rPr>
                  </w:pPr>
                </w:p>
              </w:tc>
              <w:tc>
                <w:tcPr>
                  <w:tcW w:w="4875" w:type="dxa"/>
                  <w:tcBorders>
                    <w:top w:val="single" w:color="000000" w:sz="4" w:space="0"/>
                    <w:left w:val="single" w:color="000000" w:sz="4" w:space="0"/>
                    <w:bottom w:val="single" w:color="000000" w:sz="4" w:space="0"/>
                    <w:right w:val="single" w:color="000000" w:sz="4" w:space="0"/>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3.加强环境影响跟踪监测，建立健全各环境要素监控体系，完善并落实园区日常环境监测与污染源监控计划。</w:t>
                  </w:r>
                </w:p>
              </w:tc>
              <w:tc>
                <w:tcPr>
                  <w:tcW w:w="2198" w:type="dxa"/>
                  <w:vMerge w:val="continue"/>
                  <w:tcBorders>
                    <w:left w:val="single" w:color="000000" w:sz="4" w:space="0"/>
                    <w:bottom w:val="single" w:color="000000" w:sz="4" w:space="0"/>
                    <w:right w:val="nil"/>
                  </w:tcBorders>
                  <w:vAlign w:val="center"/>
                </w:tcPr>
                <w:p>
                  <w:pPr>
                    <w:pStyle w:val="12"/>
                    <w:jc w:val="both"/>
                    <w:rPr>
                      <w:rFonts w:ascii="Times New Roman" w:hAnsi="Times New Roman" w:eastAsia="宋体"/>
                      <w:sz w:val="21"/>
                      <w:szCs w:val="21"/>
                    </w:rPr>
                  </w:pPr>
                </w:p>
              </w:tc>
              <w:tc>
                <w:tcPr>
                  <w:tcW w:w="667" w:type="dxa"/>
                  <w:vMerge w:val="continue"/>
                  <w:tcBorders>
                    <w:left w:val="single" w:color="000000" w:sz="4" w:space="0"/>
                    <w:bottom w:val="single" w:color="000000" w:sz="4" w:space="0"/>
                    <w:right w:val="nil"/>
                  </w:tcBorders>
                  <w:vAlign w:val="center"/>
                </w:tcPr>
                <w:p>
                  <w:pPr>
                    <w:pStyle w:val="12"/>
                    <w:jc w:val="both"/>
                    <w:rPr>
                      <w:rFonts w:ascii="Times New Roman" w:hAnsi="Times New Roman"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4" w:hRule="atLeast"/>
              </w:trPr>
              <w:tc>
                <w:tcPr>
                  <w:tcW w:w="510" w:type="dxa"/>
                  <w:vMerge w:val="restart"/>
                  <w:tcBorders>
                    <w:top w:val="single" w:color="000000" w:sz="4" w:space="0"/>
                    <w:left w:val="nil"/>
                    <w:right w:val="single" w:color="000000" w:sz="4" w:space="0"/>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4</w:t>
                  </w:r>
                </w:p>
              </w:tc>
              <w:tc>
                <w:tcPr>
                  <w:tcW w:w="555" w:type="dxa"/>
                  <w:vMerge w:val="restart"/>
                  <w:tcBorders>
                    <w:top w:val="single" w:color="000000" w:sz="4" w:space="0"/>
                    <w:left w:val="single" w:color="000000" w:sz="4" w:space="0"/>
                    <w:right w:val="single" w:color="000000" w:sz="4" w:space="0"/>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资源利用效率要求</w:t>
                  </w:r>
                </w:p>
              </w:tc>
              <w:tc>
                <w:tcPr>
                  <w:tcW w:w="4875" w:type="dxa"/>
                  <w:tcBorders>
                    <w:top w:val="single" w:color="000000" w:sz="4" w:space="0"/>
                    <w:left w:val="single" w:color="000000" w:sz="4" w:space="0"/>
                    <w:bottom w:val="single" w:color="000000" w:sz="4" w:space="0"/>
                    <w:right w:val="single" w:color="000000" w:sz="4" w:space="0"/>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1.大力倡导使用清洁能源</w:t>
                  </w:r>
                </w:p>
              </w:tc>
              <w:tc>
                <w:tcPr>
                  <w:tcW w:w="2198" w:type="dxa"/>
                  <w:vMerge w:val="restart"/>
                  <w:tcBorders>
                    <w:top w:val="single" w:color="000000" w:sz="4" w:space="0"/>
                    <w:left w:val="single" w:color="000000" w:sz="4" w:space="0"/>
                    <w:right w:val="nil"/>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本项目使用能源主要为清洁能源电力；项目冷却水循环使用；无燃煤设施</w:t>
                  </w:r>
                </w:p>
              </w:tc>
              <w:tc>
                <w:tcPr>
                  <w:tcW w:w="667" w:type="dxa"/>
                  <w:vMerge w:val="restart"/>
                  <w:tcBorders>
                    <w:top w:val="single" w:color="000000" w:sz="4" w:space="0"/>
                    <w:left w:val="single" w:color="000000" w:sz="4" w:space="0"/>
                    <w:right w:val="nil"/>
                  </w:tcBorders>
                  <w:vAlign w:val="center"/>
                </w:tcPr>
                <w:p>
                  <w:pPr>
                    <w:jc w:val="center"/>
                    <w:rPr>
                      <w:szCs w:val="21"/>
                    </w:rPr>
                  </w:pPr>
                  <w:r>
                    <w:rPr>
                      <w:rFonts w:hint="eastAsia"/>
                      <w:szCs w:val="21"/>
                    </w:rPr>
                    <w:t>相符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4" w:hRule="atLeast"/>
              </w:trPr>
              <w:tc>
                <w:tcPr>
                  <w:tcW w:w="510" w:type="dxa"/>
                  <w:vMerge w:val="continue"/>
                  <w:tcBorders>
                    <w:left w:val="nil"/>
                    <w:right w:val="single" w:color="000000" w:sz="4" w:space="0"/>
                  </w:tcBorders>
                  <w:vAlign w:val="center"/>
                </w:tcPr>
                <w:p>
                  <w:pPr>
                    <w:pStyle w:val="12"/>
                    <w:jc w:val="left"/>
                  </w:pPr>
                </w:p>
              </w:tc>
              <w:tc>
                <w:tcPr>
                  <w:tcW w:w="555" w:type="dxa"/>
                  <w:vMerge w:val="continue"/>
                  <w:tcBorders>
                    <w:left w:val="single" w:color="000000" w:sz="4" w:space="0"/>
                    <w:right w:val="single" w:color="000000" w:sz="4" w:space="0"/>
                  </w:tcBorders>
                  <w:vAlign w:val="center"/>
                </w:tcPr>
                <w:p>
                  <w:pPr>
                    <w:pStyle w:val="12"/>
                    <w:jc w:val="left"/>
                  </w:pPr>
                </w:p>
              </w:tc>
              <w:tc>
                <w:tcPr>
                  <w:tcW w:w="4875" w:type="dxa"/>
                  <w:tcBorders>
                    <w:top w:val="single" w:color="000000" w:sz="4" w:space="0"/>
                    <w:left w:val="single" w:color="000000" w:sz="4" w:space="0"/>
                    <w:bottom w:val="single" w:color="000000" w:sz="4" w:space="0"/>
                    <w:right w:val="single" w:color="000000" w:sz="4" w:space="0"/>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2.提升废水资源化技术，提高水资源回用率。</w:t>
                  </w:r>
                </w:p>
              </w:tc>
              <w:tc>
                <w:tcPr>
                  <w:tcW w:w="2198" w:type="dxa"/>
                  <w:vMerge w:val="continue"/>
                  <w:tcBorders>
                    <w:left w:val="single" w:color="000000" w:sz="4" w:space="0"/>
                    <w:right w:val="nil"/>
                  </w:tcBorders>
                  <w:vAlign w:val="center"/>
                </w:tcPr>
                <w:p>
                  <w:pPr>
                    <w:pStyle w:val="12"/>
                    <w:jc w:val="left"/>
                    <w:rPr>
                      <w:rFonts w:ascii="Times New Roman" w:hAnsi="Times New Roman" w:eastAsia="宋体"/>
                      <w:sz w:val="21"/>
                      <w:szCs w:val="21"/>
                    </w:rPr>
                  </w:pPr>
                </w:p>
              </w:tc>
              <w:tc>
                <w:tcPr>
                  <w:tcW w:w="667" w:type="dxa"/>
                  <w:vMerge w:val="continue"/>
                  <w:tcBorders>
                    <w:left w:val="single" w:color="000000" w:sz="4" w:space="0"/>
                    <w:right w:val="nil"/>
                  </w:tcBorders>
                  <w:vAlign w:val="center"/>
                </w:tcPr>
                <w:p>
                  <w:pPr>
                    <w:pStyle w:val="12"/>
                    <w:jc w:val="left"/>
                    <w:rPr>
                      <w:rFonts w:ascii="Times New Roman" w:hAnsi="Times New Roman" w:eastAsia="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4" w:hRule="atLeast"/>
              </w:trPr>
              <w:tc>
                <w:tcPr>
                  <w:tcW w:w="510" w:type="dxa"/>
                  <w:vMerge w:val="continue"/>
                  <w:tcBorders>
                    <w:left w:val="nil"/>
                    <w:right w:val="single" w:color="000000" w:sz="4" w:space="0"/>
                  </w:tcBorders>
                  <w:vAlign w:val="center"/>
                </w:tcPr>
                <w:p>
                  <w:pPr>
                    <w:pStyle w:val="12"/>
                    <w:jc w:val="left"/>
                    <w:rPr>
                      <w:rFonts w:ascii="Times New Roman" w:hAnsi="Times New Roman" w:eastAsia="宋体"/>
                      <w:sz w:val="21"/>
                      <w:szCs w:val="21"/>
                    </w:rPr>
                  </w:pPr>
                </w:p>
              </w:tc>
              <w:tc>
                <w:tcPr>
                  <w:tcW w:w="555" w:type="dxa"/>
                  <w:vMerge w:val="continue"/>
                  <w:tcBorders>
                    <w:left w:val="single" w:color="000000" w:sz="4" w:space="0"/>
                    <w:right w:val="single" w:color="000000" w:sz="4" w:space="0"/>
                  </w:tcBorders>
                  <w:vAlign w:val="center"/>
                </w:tcPr>
                <w:p>
                  <w:pPr>
                    <w:pStyle w:val="12"/>
                    <w:jc w:val="left"/>
                    <w:rPr>
                      <w:rFonts w:ascii="Times New Roman" w:hAnsi="Times New Roman" w:eastAsia="宋体"/>
                      <w:sz w:val="21"/>
                      <w:szCs w:val="21"/>
                    </w:rPr>
                  </w:pPr>
                </w:p>
              </w:tc>
              <w:tc>
                <w:tcPr>
                  <w:tcW w:w="4875" w:type="dxa"/>
                  <w:tcBorders>
                    <w:top w:val="single" w:color="000000" w:sz="4" w:space="0"/>
                    <w:left w:val="single" w:color="000000" w:sz="4" w:space="0"/>
                    <w:right w:val="single" w:color="000000" w:sz="4" w:space="0"/>
                  </w:tcBorders>
                  <w:vAlign w:val="center"/>
                </w:tcPr>
                <w:p>
                  <w:pPr>
                    <w:pStyle w:val="12"/>
                    <w:rPr>
                      <w:rFonts w:ascii="Times New Roman" w:hAnsi="Times New Roman" w:eastAsia="宋体"/>
                      <w:sz w:val="21"/>
                      <w:szCs w:val="21"/>
                    </w:rPr>
                  </w:pPr>
                  <w:r>
                    <w:rPr>
                      <w:rFonts w:hint="eastAsia" w:ascii="Times New Roman" w:hAnsi="Times New Roman" w:eastAsia="宋体"/>
                      <w:sz w:val="21"/>
                      <w:szCs w:val="21"/>
                    </w:rPr>
                    <w:t>3.严禁自建燃煤设施。</w:t>
                  </w:r>
                </w:p>
              </w:tc>
              <w:tc>
                <w:tcPr>
                  <w:tcW w:w="2198" w:type="dxa"/>
                  <w:vMerge w:val="continue"/>
                  <w:tcBorders>
                    <w:left w:val="single" w:color="000000" w:sz="4" w:space="0"/>
                    <w:right w:val="nil"/>
                  </w:tcBorders>
                  <w:vAlign w:val="center"/>
                </w:tcPr>
                <w:p>
                  <w:pPr>
                    <w:pStyle w:val="12"/>
                    <w:jc w:val="left"/>
                    <w:rPr>
                      <w:rFonts w:ascii="Times New Roman" w:hAnsi="Times New Roman" w:eastAsia="宋体"/>
                      <w:sz w:val="21"/>
                      <w:szCs w:val="21"/>
                    </w:rPr>
                  </w:pPr>
                </w:p>
              </w:tc>
              <w:tc>
                <w:tcPr>
                  <w:tcW w:w="667" w:type="dxa"/>
                  <w:vMerge w:val="continue"/>
                  <w:tcBorders>
                    <w:left w:val="single" w:color="000000" w:sz="4" w:space="0"/>
                    <w:right w:val="nil"/>
                  </w:tcBorders>
                  <w:vAlign w:val="center"/>
                </w:tcPr>
                <w:p>
                  <w:pPr>
                    <w:pStyle w:val="12"/>
                    <w:jc w:val="left"/>
                    <w:rPr>
                      <w:rFonts w:ascii="Times New Roman" w:hAnsi="Times New Roman" w:eastAsia="宋体"/>
                      <w:sz w:val="21"/>
                      <w:szCs w:val="21"/>
                    </w:rPr>
                  </w:pPr>
                </w:p>
              </w:tc>
            </w:tr>
          </w:tbl>
          <w:p>
            <w:pPr>
              <w:widowControl/>
              <w:spacing w:line="360" w:lineRule="auto"/>
              <w:ind w:firstLine="480" w:firstLineChars="200"/>
              <w:jc w:val="left"/>
              <w:rPr>
                <w:color w:val="000000"/>
                <w:kern w:val="0"/>
                <w:sz w:val="24"/>
              </w:rPr>
            </w:pPr>
            <w:r>
              <w:rPr>
                <w:color w:val="000000"/>
                <w:kern w:val="0"/>
                <w:sz w:val="24"/>
              </w:rPr>
              <w:t>综上，本项目符合《关于印发常州市”三线一单“生态环境分区管控实施方案的 通知》（常环[2020]95 号中规定的相关内容。</w:t>
            </w:r>
          </w:p>
          <w:p>
            <w:pPr>
              <w:widowControl/>
              <w:spacing w:line="360" w:lineRule="auto"/>
              <w:ind w:firstLine="480" w:firstLineChars="200"/>
              <w:jc w:val="left"/>
              <w:rPr>
                <w:color w:val="000000"/>
                <w:kern w:val="0"/>
                <w:sz w:val="24"/>
              </w:rPr>
            </w:pPr>
          </w:p>
          <w:p>
            <w:pPr>
              <w:pStyle w:val="2"/>
              <w:ind w:firstLine="480" w:firstLineChars="200"/>
            </w:pPr>
            <w:r>
              <w:rPr>
                <w:rFonts w:hint="eastAsia"/>
                <w:b/>
                <w:bCs/>
                <w:sz w:val="24"/>
              </w:rPr>
              <w:t>2、</w:t>
            </w:r>
            <w:r>
              <w:rPr>
                <w:rFonts w:hint="eastAsia"/>
                <w:b/>
                <w:bCs/>
                <w:color w:val="000000"/>
                <w:kern w:val="0"/>
                <w:sz w:val="24"/>
              </w:rPr>
              <w:t>与太湖水污染防治条例相符性分析</w:t>
            </w:r>
          </w:p>
          <w:p>
            <w:pPr>
              <w:pStyle w:val="11"/>
              <w:widowControl w:val="0"/>
              <w:spacing w:line="360" w:lineRule="auto"/>
              <w:ind w:firstLine="482"/>
              <w:rPr>
                <w:rFonts w:ascii="Times New Roman" w:hAnsi="Times New Roman" w:eastAsia="宋体"/>
                <w:b/>
                <w:bCs/>
              </w:rPr>
            </w:pPr>
            <w:r>
              <w:rPr>
                <w:rFonts w:hint="eastAsia" w:ascii="Times New Roman" w:hAnsi="Times New Roman" w:eastAsia="宋体"/>
                <w:b/>
                <w:bCs/>
              </w:rPr>
              <w:t>2.1与《江苏省太湖水污染防治条例》相符性分析</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 xml:space="preserve">根据《省政府办公厅关于公布江苏省太湖流域三级保护区范围的通知》（苏政办发[2012]221号），本项目所在地属于太湖流域三级保护区。根据江苏省第十二届人民代表大会常务委员会第三十四次会议于 </w:t>
            </w:r>
            <w:r>
              <w:rPr>
                <w:rFonts w:ascii="Times New Roman" w:hAnsi="Times New Roman" w:eastAsia="宋体"/>
              </w:rPr>
              <w:t xml:space="preserve">2018 </w:t>
            </w:r>
            <w:r>
              <w:rPr>
                <w:rFonts w:hint="eastAsia" w:ascii="Times New Roman" w:hAnsi="Times New Roman" w:eastAsia="宋体"/>
              </w:rPr>
              <w:t xml:space="preserve">年 </w:t>
            </w:r>
            <w:r>
              <w:rPr>
                <w:rFonts w:ascii="Times New Roman" w:hAnsi="Times New Roman" w:eastAsia="宋体"/>
              </w:rPr>
              <w:t xml:space="preserve">1 </w:t>
            </w:r>
            <w:r>
              <w:rPr>
                <w:rFonts w:hint="eastAsia" w:ascii="Times New Roman" w:hAnsi="Times New Roman" w:eastAsia="宋体"/>
              </w:rPr>
              <w:t xml:space="preserve">月 </w:t>
            </w:r>
            <w:r>
              <w:rPr>
                <w:rFonts w:ascii="Times New Roman" w:hAnsi="Times New Roman" w:eastAsia="宋体"/>
              </w:rPr>
              <w:t xml:space="preserve">24 </w:t>
            </w:r>
            <w:r>
              <w:rPr>
                <w:rFonts w:hint="eastAsia" w:ascii="Times New Roman" w:hAnsi="Times New Roman" w:eastAsia="宋体"/>
              </w:rPr>
              <w:t>日通过的《江苏省太湖水污染防治条例》中第四十三条、第四十五条、第四十六条的规定：</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“第四十三条 太湖流域一、二、三级保护区禁止下列行为：</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（一）新建、改建、扩建化学制浆造纸、制革、酿造、染料、印染、电镀以及其他排放含磷、氮等污染物的企业和项目，城镇污水集中处理等环境基础设施项目和第四十六条规定的情形除外；</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（二）销售、使用含磷洗涤用品；</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（三）向水体排放或者倾倒油类、酸液、碱液、剧毒污泥废液、含放射性污泥废液、含病原体污水、工业污泥以及其他废弃物；</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（四）在水体清洗装贮过油类或者有毒有害污染物的车辆、船舶和容器等；</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（五）使用农药等有毒物毒杀水生生物；</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（六）向水体直接排放人畜粪便、倾倒垃圾；</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（七）围湖造地；</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（八）违法开山采石，或者进行破坏林木、植被、水生生物的活动；</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（九）法律、法规禁止的其他行为。”</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“第四十五条 太湖流域二级保护区限值下列行为：</w:t>
            </w:r>
          </w:p>
          <w:p>
            <w:pPr>
              <w:pStyle w:val="11"/>
              <w:widowControl w:val="0"/>
              <w:numPr>
                <w:ilvl w:val="0"/>
                <w:numId w:val="6"/>
              </w:numPr>
              <w:spacing w:line="360" w:lineRule="auto"/>
              <w:ind w:firstLine="480"/>
              <w:rPr>
                <w:rFonts w:ascii="Times New Roman" w:hAnsi="Times New Roman" w:eastAsia="宋体"/>
              </w:rPr>
            </w:pPr>
            <w:r>
              <w:rPr>
                <w:rFonts w:hint="eastAsia" w:ascii="Times New Roman" w:hAnsi="Times New Roman" w:eastAsia="宋体"/>
              </w:rPr>
              <w:t>新建、扩建化工、医疗生产项目；</w:t>
            </w:r>
          </w:p>
          <w:p>
            <w:pPr>
              <w:pStyle w:val="11"/>
              <w:widowControl w:val="0"/>
              <w:numPr>
                <w:ilvl w:val="0"/>
                <w:numId w:val="6"/>
              </w:numPr>
              <w:spacing w:line="360" w:lineRule="auto"/>
              <w:ind w:firstLine="480"/>
              <w:rPr>
                <w:rFonts w:ascii="Times New Roman" w:hAnsi="Times New Roman" w:eastAsia="宋体"/>
              </w:rPr>
            </w:pPr>
            <w:r>
              <w:rPr>
                <w:rFonts w:hint="eastAsia" w:ascii="Times New Roman" w:hAnsi="Times New Roman" w:eastAsia="宋体"/>
              </w:rPr>
              <w:t>新建、扩建污水集中处理设施排污口以外的排污口；</w:t>
            </w:r>
          </w:p>
          <w:p>
            <w:pPr>
              <w:pStyle w:val="11"/>
              <w:widowControl w:val="0"/>
              <w:numPr>
                <w:ilvl w:val="0"/>
                <w:numId w:val="6"/>
              </w:numPr>
              <w:spacing w:line="360" w:lineRule="auto"/>
              <w:ind w:firstLine="480"/>
              <w:rPr>
                <w:rFonts w:ascii="Times New Roman" w:hAnsi="Times New Roman" w:eastAsia="宋体"/>
              </w:rPr>
            </w:pPr>
            <w:r>
              <w:rPr>
                <w:rFonts w:hint="eastAsia" w:ascii="Times New Roman" w:hAnsi="Times New Roman" w:eastAsia="宋体"/>
              </w:rPr>
              <w:t>扩大水产养殖规模；</w:t>
            </w:r>
          </w:p>
          <w:p>
            <w:pPr>
              <w:pStyle w:val="11"/>
              <w:widowControl w:val="0"/>
              <w:numPr>
                <w:ilvl w:val="0"/>
                <w:numId w:val="6"/>
              </w:numPr>
              <w:spacing w:line="360" w:lineRule="auto"/>
              <w:ind w:firstLine="480"/>
              <w:rPr>
                <w:rFonts w:ascii="Times New Roman" w:hAnsi="Times New Roman" w:eastAsia="宋体"/>
              </w:rPr>
            </w:pPr>
            <w:r>
              <w:rPr>
                <w:rFonts w:hint="eastAsia" w:ascii="Times New Roman" w:hAnsi="Times New Roman" w:eastAsia="宋体"/>
              </w:rPr>
              <w:t>法律法规禁止的其他行为。”</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 xml:space="preserve">“第四十六条 太湖流域二、三级保护区内，在工业集聚区新建、改建、扩建排放含磷、氮等污染物的战略性新兴产业项目和改建印染项目，以及排放含磷、氮等污染物的现有企业在不增加产能的前提下实施提升环保标准的技术改造项目，应当符合国家产业政策和水环境综合治理要求，在实现国家和省减排目标的基础上，实施区域磷、氮等重点水污染物年排放总量减量替代。其中，战略性新兴产业新建、扩建项目新增的磷、氮等重点水污染物排放总量应当从本区域通过产业置换、淘汰、关闭等方式获得的指标中取得，且按照不低于该项目新增年排放总量的 </w:t>
            </w:r>
            <w:r>
              <w:rPr>
                <w:rFonts w:ascii="Times New Roman" w:hAnsi="Times New Roman" w:eastAsia="宋体"/>
              </w:rPr>
              <w:t xml:space="preserve">1.1 </w:t>
            </w:r>
            <w:r>
              <w:rPr>
                <w:rFonts w:hint="eastAsia" w:ascii="Times New Roman" w:hAnsi="Times New Roman" w:eastAsia="宋体"/>
              </w:rPr>
              <w:t xml:space="preserve">倍实施减量替代；战略性新兴产业改建项目应当实现项目磷、氮等重点水污染物年排放总量减少，印染改建项目应当按照不低于该项目磷、氮等重点水污染物年排放总量指标的二倍实行减量替代；提升环保标准的技术改造项目的磷、氮等重点水污染物年排放总量减少幅度应当不低于该项目原年排放总量的百分之二十。前述减少的磷、氮等重点水污染物年排放总量指标不得用于其他项目。具体减量替代办法由省人民政府根据经济社会发展水平和区域水环境质量改善情况制定。 </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 xml:space="preserve">前款规定中新建、改建、扩建以及技术改造项目的环境影响报告书，除由国务院环境保护主管部门负责审批的情形外，由省环境保护主管部门审批。其中，新建、扩建项目减量替代具体方案，应当在审批机关审查同意前实施完成，完成情况书面报送审批机关。 </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 xml:space="preserve">本条所指排放含磷、氮等污染物的战略性新兴产业具体类别，由省发展改革部门会同省经济和信息化、环境保护主管部门拟定并报省人民政府批准后公布。 </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太湖流域设区的市减量完成情况应当纳入省人民政府水环境质量考核体系。太湖流域县级以上地方人民政府应当将减量完成情况作为向本级人民代表大会常务委员会报告水污染防治工作的内容。”</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本项目属于塑料制品制造项目，不属于上述所列企业和项目，生产过程中无含氮、磷废水排放，不属于《江苏省太湖水污染防治条例》中禁止类项目。因此符合《江苏省太湖水污染防治条例》的要求。</w:t>
            </w:r>
          </w:p>
          <w:p>
            <w:pPr>
              <w:widowControl/>
              <w:spacing w:line="360" w:lineRule="auto"/>
              <w:ind w:firstLine="480" w:firstLineChars="200"/>
              <w:jc w:val="left"/>
            </w:pPr>
            <w:r>
              <w:rPr>
                <w:rFonts w:hint="eastAsia" w:ascii="宋体" w:hAnsi="宋体" w:cs="宋体"/>
                <w:b/>
                <w:bCs/>
                <w:color w:val="000000"/>
                <w:kern w:val="0"/>
                <w:sz w:val="24"/>
              </w:rPr>
              <w:t>2.2与</w:t>
            </w:r>
            <w:r>
              <w:rPr>
                <w:b/>
                <w:bCs/>
                <w:color w:val="000000"/>
                <w:kern w:val="0"/>
                <w:sz w:val="24"/>
              </w:rPr>
              <w:t>“</w:t>
            </w:r>
            <w:r>
              <w:rPr>
                <w:rFonts w:hint="eastAsia" w:ascii="宋体" w:hAnsi="宋体" w:cs="宋体"/>
                <w:b/>
                <w:bCs/>
                <w:color w:val="000000"/>
                <w:kern w:val="0"/>
                <w:sz w:val="24"/>
              </w:rPr>
              <w:t>《太湖流域管理条例》</w:t>
            </w:r>
            <w:r>
              <w:rPr>
                <w:b/>
                <w:bCs/>
                <w:color w:val="000000"/>
                <w:kern w:val="0"/>
                <w:sz w:val="24"/>
              </w:rPr>
              <w:t>(</w:t>
            </w:r>
            <w:r>
              <w:rPr>
                <w:rFonts w:hint="eastAsia" w:ascii="宋体" w:hAnsi="宋体" w:cs="宋体"/>
                <w:b/>
                <w:bCs/>
                <w:color w:val="000000"/>
                <w:kern w:val="0"/>
                <w:sz w:val="24"/>
              </w:rPr>
              <w:t xml:space="preserve">国务院令第 </w:t>
            </w:r>
            <w:r>
              <w:rPr>
                <w:b/>
                <w:bCs/>
                <w:color w:val="000000"/>
                <w:kern w:val="0"/>
                <w:sz w:val="24"/>
              </w:rPr>
              <w:t xml:space="preserve">604 </w:t>
            </w:r>
            <w:r>
              <w:rPr>
                <w:rFonts w:hint="eastAsia" w:ascii="宋体" w:hAnsi="宋体" w:cs="宋体"/>
                <w:b/>
                <w:bCs/>
                <w:color w:val="000000"/>
                <w:kern w:val="0"/>
                <w:sz w:val="24"/>
              </w:rPr>
              <w:t>号</w:t>
            </w:r>
            <w:r>
              <w:rPr>
                <w:b/>
                <w:bCs/>
                <w:color w:val="000000"/>
                <w:kern w:val="0"/>
                <w:sz w:val="24"/>
              </w:rPr>
              <w:t>)”</w:t>
            </w:r>
            <w:r>
              <w:rPr>
                <w:rFonts w:hint="eastAsia" w:ascii="宋体" w:hAnsi="宋体" w:cs="宋体"/>
                <w:b/>
                <w:bCs/>
                <w:color w:val="000000"/>
                <w:kern w:val="0"/>
                <w:sz w:val="24"/>
              </w:rPr>
              <w:t>符性分析</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对照太湖流域管理条例（国务院令第604号）的相关内容：</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“第二十九条  新孟河、望虞河以外的其他主要入太湖河道，自河口1万m上溯至5万m河道岸线内及其岸线两侧各1000m范围内，禁止下列行为：</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（一）新建、扩建化工、医药生产项目；</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（二）新建、扩建污水集中处理设施排污口以外的排污口；</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（三）扩大水产养殖规模。”</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“第三十条  太湖岸线内和岸线周边5000m范围内，淀山湖岸线内和岸线周边2000m范围内，太浦河、新孟河、望虞河岸线内和岸线两侧各1000m范围内，其他主要入太湖河道自河口上溯至1万m河道岸线内及其岸线两侧各1000m范围内，禁止下列行为：</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（一）设置剧毒物质、危险化学品的贮存、输送设施和废物回收场、垃圾场；</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（二）设置水上餐饮经营设施；</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（三）新建、扩建高尔夫球场；</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（四）新建、扩建畜禽养殖场；</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（五）新建、扩建向水体排放污染物的建设项目；</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（六）本条例第二十九条规定的行为。”</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本项目不属于“不符合国家产业政策和水环境综合治理要求的造纸、制革、酒精、淀粉、冶金、酿造、印染、电镀等排放水污染物的生产项目”；项目建成后，将设置便于检查、采样的规范化排污口，悬挂标识牌；项目不属于太湖条例中第二十九条、第三十条设定的区域。</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因此，本项目符合当前国家相关产业政策和地方性法规政策。</w:t>
            </w:r>
          </w:p>
          <w:p>
            <w:pPr>
              <w:widowControl/>
              <w:spacing w:line="360" w:lineRule="auto"/>
              <w:ind w:firstLine="480" w:firstLineChars="200"/>
              <w:jc w:val="left"/>
              <w:rPr>
                <w:b/>
                <w:bCs/>
                <w:color w:val="000000"/>
                <w:kern w:val="0"/>
                <w:sz w:val="24"/>
              </w:rPr>
            </w:pPr>
            <w:r>
              <w:rPr>
                <w:rFonts w:hint="eastAsia"/>
                <w:b/>
                <w:bCs/>
                <w:color w:val="000000"/>
                <w:kern w:val="0"/>
                <w:sz w:val="24"/>
              </w:rPr>
              <w:t>3与“两减六治三提升”专项行动方案相符性分析</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根据《省政府办公厅关于印发江苏省“两减六治三提升”专项行动方案的通知》苏政办发 [2017]30号，第七章节“江苏省挥发性有机物污染治理专项行动实施方案”，为落实《“两减六 治三提升”专项行动方案》，采取更加系统、精准、严格的挥发性有机物（简称VOCs，下同） 治理措施，减少挥发性有机物排放总量，确保在实现“十三五”生态环境保护目标的基础上， 更大幅度地改善环境空气质量，结合本省实际，制定本方案。</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 xml:space="preserve">1、总体要求及目标 </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 xml:space="preserve">以源头控制、结构优化、综合治理、总量控制为原则，通过采用结构调整以及原料替代、过程管理、末端治理全过程污染控制措施，全面开展VOCs减排工作。重点削减工业源、移动源挥发性有机物排放，强化生活源挥发性有机物污染防治。全面建成VOCs综合防控体系，大幅减少VOCs排放总量。 </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 xml:space="preserve">本项目 VOCs 产生量小，产生的 VOCs 工段均配套了废气治理设施，治理技术可靠；废气收集采用点对点的收集口，收集效率可达90%有效减少了无组织废气的排放，大幅减少了 VOCs 排放总量，与上述内容相符。 </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 xml:space="preserve">2、主要举措及相符性分析 </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 xml:space="preserve">①减少煤炭消费总量 到2020年，全省煤炭消费总量比2015年减少3200万吨，电力行业煤炭消费占煤炭消费总量的比重提高到65%以上。 </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项目生产过程中不使用煤为能源，采用电能为能源，与“两减六治三提升”专项行动方案相符。</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②治理太湖水环境</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到2020年，太湖湖体高锰酸盐指数和氨氮稳定保持在II类，总磷达到III类，总氮达到V类，流域总氮、总磷污染物排放量均比2015年削减16%以上，确保饮用水安全、确保不发生大面积湖泛。</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本项目为塑料零部件制造项目，项目生活污水接管至金坛区第二污水处理厂处理，尾水达标排入尧塘河，与“两减六治三提升”专项行动方案要求相符。</w:t>
            </w:r>
          </w:p>
          <w:p>
            <w:pPr>
              <w:widowControl/>
              <w:spacing w:line="360" w:lineRule="auto"/>
              <w:ind w:firstLine="480" w:firstLineChars="200"/>
              <w:jc w:val="left"/>
              <w:rPr>
                <w:color w:val="000000"/>
                <w:kern w:val="0"/>
                <w:sz w:val="24"/>
              </w:rPr>
            </w:pPr>
            <w:r>
              <w:rPr>
                <w:rFonts w:hint="eastAsia"/>
                <w:color w:val="000000"/>
                <w:kern w:val="0"/>
                <w:sz w:val="24"/>
              </w:rPr>
              <w:t xml:space="preserve">③挥发性有机物污染治理 </w:t>
            </w:r>
          </w:p>
          <w:p>
            <w:pPr>
              <w:widowControl/>
              <w:spacing w:line="360" w:lineRule="auto"/>
              <w:ind w:firstLine="480" w:firstLineChars="200"/>
              <w:jc w:val="left"/>
              <w:rPr>
                <w:color w:val="000000"/>
                <w:kern w:val="0"/>
                <w:sz w:val="24"/>
              </w:rPr>
            </w:pPr>
            <w:r>
              <w:rPr>
                <w:rFonts w:hint="eastAsia"/>
                <w:color w:val="000000"/>
                <w:kern w:val="0"/>
                <w:sz w:val="24"/>
              </w:rPr>
              <w:t xml:space="preserve">到2020年，全省挥发性有机物（VOCs）排放总量削减20%以上。强制使用水性涂料，2017 年底前，印刷包装以及集装箱、交通工具、机械设备、人造板、家具、船舶制造等行业，全面使用低VOCs含量的涂料、胶黏剂替代原有的有机溶剂。完成工业涂装VOCs综合治理，加强有机废气分类收集与处理。 </w:t>
            </w:r>
          </w:p>
          <w:p>
            <w:pPr>
              <w:widowControl/>
              <w:spacing w:line="360" w:lineRule="auto"/>
              <w:ind w:firstLine="480" w:firstLineChars="200"/>
              <w:jc w:val="left"/>
              <w:rPr>
                <w:color w:val="000000"/>
                <w:kern w:val="0"/>
                <w:sz w:val="24"/>
              </w:rPr>
            </w:pPr>
            <w:r>
              <w:rPr>
                <w:rFonts w:hint="eastAsia"/>
                <w:color w:val="000000"/>
                <w:kern w:val="0"/>
                <w:sz w:val="24"/>
              </w:rPr>
              <w:t xml:space="preserve">本项目不属于上述规定行业，但也采取了有效的废气处理设施，可有效对产生的废气进行收集处理，与“两减六治三提升”专项行动方案相符。 </w:t>
            </w:r>
          </w:p>
          <w:p>
            <w:pPr>
              <w:widowControl/>
              <w:spacing w:line="360" w:lineRule="auto"/>
              <w:ind w:firstLine="480" w:firstLineChars="200"/>
              <w:jc w:val="left"/>
              <w:rPr>
                <w:color w:val="000000"/>
                <w:kern w:val="0"/>
                <w:sz w:val="24"/>
              </w:rPr>
            </w:pPr>
            <w:r>
              <w:rPr>
                <w:rFonts w:hint="eastAsia"/>
                <w:color w:val="000000"/>
                <w:kern w:val="0"/>
                <w:sz w:val="24"/>
              </w:rPr>
              <w:t>综上，本项目与“两减六治三提升”专项行动方案相符。</w:t>
            </w:r>
          </w:p>
          <w:p>
            <w:pPr>
              <w:widowControl/>
              <w:spacing w:line="360" w:lineRule="auto"/>
              <w:ind w:firstLine="480" w:firstLineChars="200"/>
              <w:jc w:val="left"/>
              <w:rPr>
                <w:b/>
                <w:bCs/>
                <w:color w:val="000000"/>
                <w:kern w:val="0"/>
                <w:sz w:val="24"/>
              </w:rPr>
            </w:pPr>
            <w:r>
              <w:rPr>
                <w:rFonts w:hint="eastAsia"/>
                <w:b/>
                <w:bCs/>
                <w:color w:val="000000"/>
                <w:kern w:val="0"/>
                <w:sz w:val="24"/>
              </w:rPr>
              <w:t>4、挥发性有机物污染防治相关文件对照</w:t>
            </w:r>
          </w:p>
          <w:p>
            <w:pPr>
              <w:widowControl/>
              <w:spacing w:line="360" w:lineRule="auto"/>
              <w:ind w:firstLine="480" w:firstLineChars="200"/>
              <w:jc w:val="left"/>
              <w:rPr>
                <w:b/>
                <w:bCs/>
                <w:color w:val="000000"/>
                <w:kern w:val="0"/>
                <w:sz w:val="24"/>
              </w:rPr>
            </w:pPr>
            <w:r>
              <w:rPr>
                <w:rFonts w:hint="eastAsia"/>
                <w:b/>
                <w:bCs/>
                <w:color w:val="000000"/>
                <w:kern w:val="0"/>
                <w:sz w:val="24"/>
              </w:rPr>
              <w:t>4.1与“十三五”挥发性有机物污染防治工作方案相符性分析</w:t>
            </w:r>
          </w:p>
          <w:p>
            <w:pPr>
              <w:widowControl/>
              <w:spacing w:line="360" w:lineRule="auto"/>
              <w:ind w:firstLine="480" w:firstLineChars="200"/>
              <w:jc w:val="left"/>
              <w:rPr>
                <w:color w:val="000000"/>
                <w:kern w:val="0"/>
                <w:sz w:val="24"/>
              </w:rPr>
            </w:pPr>
            <w:r>
              <w:rPr>
                <w:rFonts w:hint="eastAsia"/>
                <w:color w:val="000000"/>
                <w:kern w:val="0"/>
                <w:sz w:val="24"/>
              </w:rPr>
              <w:t>挥发性有机物（VOCs）是指参与大气光化学反应的有机化合物，包括非甲烷烃类（烷烃、 烯烃、炔烃、芳香烃等）、含氧有机物（醛、酮、醇、醚等）、含氯有机物、含氮有机物、含硫有机物等，是形成臭氧（O</w:t>
            </w:r>
            <w:r>
              <w:rPr>
                <w:rFonts w:hint="eastAsia"/>
                <w:color w:val="000000"/>
                <w:kern w:val="0"/>
                <w:sz w:val="24"/>
                <w:vertAlign w:val="subscript"/>
              </w:rPr>
              <w:t>3</w:t>
            </w:r>
            <w:r>
              <w:rPr>
                <w:rFonts w:hint="eastAsia"/>
                <w:color w:val="000000"/>
                <w:kern w:val="0"/>
                <w:sz w:val="24"/>
              </w:rPr>
              <w:t>）和细颗粒物（PM2.5）污染的重要前体物。为全面加强VOCs 污染防治工作，提高管理的科学性、针对性和有效性，促进环境空气质量持续改善，制定本方案。</w:t>
            </w:r>
          </w:p>
          <w:p>
            <w:pPr>
              <w:widowControl/>
              <w:spacing w:line="360" w:lineRule="auto"/>
              <w:ind w:firstLine="480" w:firstLineChars="200"/>
              <w:jc w:val="left"/>
              <w:rPr>
                <w:color w:val="000000"/>
                <w:kern w:val="0"/>
                <w:sz w:val="24"/>
              </w:rPr>
            </w:pPr>
            <w:r>
              <w:rPr>
                <w:rFonts w:hint="eastAsia"/>
                <w:color w:val="000000"/>
                <w:kern w:val="0"/>
                <w:sz w:val="24"/>
              </w:rPr>
              <w:t xml:space="preserve">二、总体要求及目标 </w:t>
            </w:r>
          </w:p>
          <w:p>
            <w:pPr>
              <w:widowControl/>
              <w:spacing w:line="360" w:lineRule="auto"/>
              <w:ind w:firstLine="480" w:firstLineChars="200"/>
              <w:jc w:val="left"/>
              <w:rPr>
                <w:color w:val="000000"/>
                <w:kern w:val="0"/>
                <w:sz w:val="24"/>
              </w:rPr>
            </w:pPr>
            <w:r>
              <w:rPr>
                <w:rFonts w:hint="eastAsia"/>
                <w:color w:val="000000"/>
                <w:kern w:val="0"/>
                <w:sz w:val="24"/>
              </w:rPr>
              <w:t xml:space="preserve">（一）总体要求 </w:t>
            </w:r>
          </w:p>
          <w:p>
            <w:pPr>
              <w:widowControl/>
              <w:spacing w:line="360" w:lineRule="auto"/>
              <w:ind w:firstLine="480" w:firstLineChars="200"/>
              <w:jc w:val="left"/>
              <w:rPr>
                <w:color w:val="000000"/>
                <w:kern w:val="0"/>
                <w:sz w:val="24"/>
              </w:rPr>
            </w:pPr>
            <w:r>
              <w:rPr>
                <w:rFonts w:hint="eastAsia"/>
                <w:color w:val="000000"/>
                <w:kern w:val="0"/>
                <w:sz w:val="24"/>
              </w:rPr>
              <w:t xml:space="preserve">以改善环境空气质量为核心，以重点地区为主要着力点，以重点行业和重点污染物为主要控制对象，推进VOCs与NOx协同减排，强化新增污染物排放控制，实施固定污染源排污许可，全面加强基础能力建设和政策支持保障，因地制宜，突出重点，源头防控，分业施策， 建立VOCs污染防治长效机制，促进环境空气质量持续改善和产业绿色发展。 </w:t>
            </w:r>
          </w:p>
          <w:p>
            <w:pPr>
              <w:widowControl/>
              <w:spacing w:line="360" w:lineRule="auto"/>
              <w:ind w:firstLine="480" w:firstLineChars="200"/>
              <w:jc w:val="left"/>
              <w:rPr>
                <w:color w:val="000000"/>
                <w:kern w:val="0"/>
                <w:sz w:val="24"/>
              </w:rPr>
            </w:pPr>
            <w:r>
              <w:rPr>
                <w:rFonts w:hint="eastAsia"/>
                <w:color w:val="000000"/>
                <w:kern w:val="0"/>
                <w:sz w:val="24"/>
              </w:rPr>
              <w:t xml:space="preserve">（二）主要目标 </w:t>
            </w:r>
          </w:p>
          <w:p>
            <w:pPr>
              <w:widowControl/>
              <w:spacing w:line="360" w:lineRule="auto"/>
              <w:ind w:firstLine="480" w:firstLineChars="200"/>
              <w:jc w:val="left"/>
              <w:rPr>
                <w:color w:val="000000"/>
                <w:kern w:val="0"/>
                <w:sz w:val="24"/>
              </w:rPr>
            </w:pPr>
            <w:r>
              <w:rPr>
                <w:rFonts w:hint="eastAsia"/>
                <w:color w:val="000000"/>
                <w:kern w:val="0"/>
                <w:sz w:val="24"/>
              </w:rPr>
              <w:t xml:space="preserve">到2020年，建立健全以改善环境空气质量为核心的VOCs污染防治管理体系，实施重点地区、重点行业VOCs污染减排，排放总量下降10%以上。通过与NOx等污染物的协同控制，实现环境空气质量持续改善。 </w:t>
            </w:r>
          </w:p>
          <w:p>
            <w:pPr>
              <w:widowControl/>
              <w:spacing w:line="360" w:lineRule="auto"/>
              <w:ind w:firstLine="480" w:firstLineChars="200"/>
              <w:jc w:val="left"/>
              <w:rPr>
                <w:color w:val="000000"/>
                <w:kern w:val="0"/>
                <w:sz w:val="24"/>
              </w:rPr>
            </w:pPr>
            <w:r>
              <w:rPr>
                <w:rFonts w:hint="eastAsia"/>
                <w:color w:val="000000"/>
                <w:kern w:val="0"/>
                <w:sz w:val="24"/>
              </w:rPr>
              <w:t xml:space="preserve">四、主要任务 </w:t>
            </w:r>
          </w:p>
          <w:p>
            <w:pPr>
              <w:widowControl/>
              <w:spacing w:line="360" w:lineRule="auto"/>
              <w:ind w:firstLine="480" w:firstLineChars="200"/>
              <w:jc w:val="left"/>
              <w:rPr>
                <w:color w:val="000000"/>
                <w:kern w:val="0"/>
                <w:sz w:val="24"/>
              </w:rPr>
            </w:pPr>
            <w:r>
              <w:rPr>
                <w:rFonts w:hint="eastAsia"/>
                <w:color w:val="000000"/>
                <w:kern w:val="0"/>
                <w:sz w:val="24"/>
              </w:rPr>
              <w:t xml:space="preserve">（二）加快实施工业源VOCs污染防治 </w:t>
            </w:r>
          </w:p>
          <w:p>
            <w:pPr>
              <w:widowControl/>
              <w:spacing w:line="360" w:lineRule="auto"/>
              <w:ind w:firstLine="480" w:firstLineChars="200"/>
              <w:jc w:val="left"/>
              <w:rPr>
                <w:color w:val="000000"/>
                <w:kern w:val="0"/>
                <w:sz w:val="24"/>
              </w:rPr>
            </w:pPr>
            <w:r>
              <w:rPr>
                <w:rFonts w:hint="eastAsia"/>
                <w:color w:val="000000"/>
                <w:kern w:val="0"/>
                <w:sz w:val="24"/>
              </w:rPr>
              <w:t xml:space="preserve">3、加大工业涂装VOCs治理力度。全面推进集装箱、汽车、木质家具、船舶、工程机械、 钢结构、卷材等制造行业工业涂装VOCs排放控制，在重点地区还应加强其他交通设备、电子、 家用电器制造等行业工业涂装VOCs排放控制。 </w:t>
            </w:r>
          </w:p>
          <w:p>
            <w:pPr>
              <w:widowControl/>
              <w:spacing w:line="360" w:lineRule="auto"/>
              <w:ind w:firstLine="480" w:firstLineChars="200"/>
              <w:jc w:val="left"/>
              <w:rPr>
                <w:color w:val="000000"/>
                <w:kern w:val="0"/>
                <w:sz w:val="24"/>
              </w:rPr>
            </w:pPr>
            <w:r>
              <w:rPr>
                <w:rFonts w:hint="eastAsia"/>
                <w:color w:val="000000"/>
                <w:kern w:val="0"/>
                <w:sz w:val="24"/>
              </w:rPr>
              <w:t xml:space="preserve">本项目有机废气经收集后（收集效率达 90%），采用二级活性炭吸附装置进行处理，处理效率可达 80%，处理后达标排放，与“十三五”挥发性有机物污染防治工作方案相符。 </w:t>
            </w:r>
          </w:p>
          <w:p>
            <w:pPr>
              <w:widowControl/>
              <w:spacing w:line="360" w:lineRule="auto"/>
              <w:ind w:firstLine="480" w:firstLineChars="200"/>
              <w:jc w:val="left"/>
              <w:rPr>
                <w:b/>
                <w:bCs/>
                <w:color w:val="000000"/>
                <w:kern w:val="0"/>
                <w:sz w:val="24"/>
              </w:rPr>
            </w:pPr>
            <w:r>
              <w:rPr>
                <w:rFonts w:hint="eastAsia"/>
                <w:b/>
                <w:bCs/>
                <w:color w:val="000000"/>
                <w:kern w:val="0"/>
                <w:sz w:val="24"/>
              </w:rPr>
              <w:t xml:space="preserve">4.2 与“《江苏省重点行业挥发性有机物污染控制指南》[2014]128 号”相符性分析 </w:t>
            </w:r>
          </w:p>
          <w:p>
            <w:pPr>
              <w:widowControl/>
              <w:spacing w:line="360" w:lineRule="auto"/>
              <w:ind w:firstLine="480" w:firstLineChars="200"/>
              <w:jc w:val="left"/>
              <w:rPr>
                <w:color w:val="000000"/>
                <w:kern w:val="0"/>
                <w:sz w:val="24"/>
              </w:rPr>
            </w:pPr>
            <w:r>
              <w:rPr>
                <w:rFonts w:hint="eastAsia"/>
                <w:color w:val="000000"/>
                <w:kern w:val="0"/>
                <w:sz w:val="24"/>
              </w:rPr>
              <w:t xml:space="preserve">一、总体要求 </w:t>
            </w:r>
          </w:p>
          <w:p>
            <w:pPr>
              <w:widowControl/>
              <w:spacing w:line="360" w:lineRule="auto"/>
              <w:ind w:firstLine="480" w:firstLineChars="200"/>
              <w:jc w:val="left"/>
              <w:rPr>
                <w:color w:val="000000"/>
                <w:kern w:val="0"/>
                <w:sz w:val="24"/>
              </w:rPr>
            </w:pPr>
            <w:r>
              <w:rPr>
                <w:rFonts w:hint="eastAsia"/>
                <w:color w:val="000000"/>
                <w:kern w:val="0"/>
                <w:sz w:val="24"/>
              </w:rPr>
              <w:t>（一）所有产生有机废气污染的企业，应优先采用环保型原辅料、生产工艺和装备，对相应生产单元或设施进行密闭，从源头控制 VOCs 的产生，减少废气污染物排放。</w:t>
            </w:r>
          </w:p>
          <w:p>
            <w:pPr>
              <w:widowControl/>
              <w:spacing w:line="360" w:lineRule="auto"/>
              <w:ind w:firstLine="480" w:firstLineChars="200"/>
              <w:jc w:val="left"/>
              <w:rPr>
                <w:color w:val="000000"/>
                <w:kern w:val="0"/>
                <w:sz w:val="24"/>
              </w:rPr>
            </w:pPr>
            <w:r>
              <w:rPr>
                <w:rFonts w:hint="eastAsia"/>
                <w:color w:val="000000"/>
                <w:kern w:val="0"/>
                <w:sz w:val="24"/>
              </w:rPr>
              <w:t xml:space="preserve">（二）鼓励对排放的 </w:t>
            </w:r>
            <w:r>
              <w:rPr>
                <w:color w:val="000000"/>
                <w:kern w:val="0"/>
                <w:sz w:val="24"/>
              </w:rPr>
              <w:t xml:space="preserve">VOCs </w:t>
            </w:r>
            <w:r>
              <w:rPr>
                <w:rFonts w:hint="eastAsia"/>
                <w:color w:val="000000"/>
                <w:kern w:val="0"/>
                <w:sz w:val="24"/>
              </w:rPr>
              <w:t xml:space="preserve">进行回收利用，并优先在生产系统内回用。对浓度、性状差异较大的废气应分类收集，并采用适宜的方式进行有效处理，确保 </w:t>
            </w:r>
            <w:r>
              <w:rPr>
                <w:color w:val="000000"/>
                <w:kern w:val="0"/>
                <w:sz w:val="24"/>
              </w:rPr>
              <w:t xml:space="preserve">VOCs </w:t>
            </w:r>
            <w:r>
              <w:rPr>
                <w:rFonts w:hint="eastAsia"/>
                <w:color w:val="000000"/>
                <w:kern w:val="0"/>
                <w:sz w:val="24"/>
              </w:rPr>
              <w:t xml:space="preserve">总去除率满足管理要求，其中有机化工、医药化工、橡胶和塑料制品（有溶剂浸胶工艺）、溶剂型涂料表面涂装、包装印刷业的 </w:t>
            </w:r>
            <w:r>
              <w:rPr>
                <w:color w:val="000000"/>
                <w:kern w:val="0"/>
                <w:sz w:val="24"/>
              </w:rPr>
              <w:t xml:space="preserve">VOCs </w:t>
            </w:r>
            <w:r>
              <w:rPr>
                <w:rFonts w:hint="eastAsia"/>
                <w:color w:val="000000"/>
                <w:kern w:val="0"/>
                <w:sz w:val="24"/>
              </w:rPr>
              <w:t xml:space="preserve">总收集、净化处理率均不低于 </w:t>
            </w:r>
            <w:r>
              <w:rPr>
                <w:color w:val="000000"/>
                <w:kern w:val="0"/>
                <w:sz w:val="24"/>
              </w:rPr>
              <w:t>90%</w:t>
            </w:r>
            <w:r>
              <w:rPr>
                <w:rFonts w:hint="eastAsia"/>
                <w:color w:val="000000"/>
                <w:kern w:val="0"/>
                <w:sz w:val="24"/>
              </w:rPr>
              <w:t xml:space="preserve">，其他行业原则上不低于 </w:t>
            </w:r>
            <w:r>
              <w:rPr>
                <w:color w:val="000000"/>
                <w:kern w:val="0"/>
                <w:sz w:val="24"/>
              </w:rPr>
              <w:t>75%</w:t>
            </w:r>
            <w:r>
              <w:rPr>
                <w:rFonts w:hint="eastAsia"/>
                <w:color w:val="000000"/>
                <w:kern w:val="0"/>
                <w:sz w:val="24"/>
              </w:rPr>
              <w:t xml:space="preserve">。废气处理的工艺路线应根据废气产生量、污染物组分和性质、温度、压力等因素，综合分析后合理选择，具体要求如下： </w:t>
            </w:r>
          </w:p>
          <w:p>
            <w:pPr>
              <w:widowControl/>
              <w:spacing w:line="360" w:lineRule="auto"/>
              <w:ind w:firstLine="480" w:firstLineChars="200"/>
              <w:jc w:val="left"/>
              <w:rPr>
                <w:color w:val="000000"/>
                <w:kern w:val="0"/>
                <w:sz w:val="24"/>
              </w:rPr>
            </w:pPr>
            <w:r>
              <w:rPr>
                <w:color w:val="000000"/>
                <w:kern w:val="0"/>
                <w:sz w:val="24"/>
              </w:rPr>
              <w:t>1</w:t>
            </w:r>
            <w:r>
              <w:rPr>
                <w:rFonts w:hint="eastAsia"/>
                <w:color w:val="000000"/>
                <w:kern w:val="0"/>
                <w:sz w:val="24"/>
              </w:rPr>
              <w:t xml:space="preserve">、对于 </w:t>
            </w:r>
            <w:r>
              <w:rPr>
                <w:color w:val="000000"/>
                <w:kern w:val="0"/>
                <w:sz w:val="24"/>
              </w:rPr>
              <w:t xml:space="preserve">5000ppm </w:t>
            </w:r>
            <w:r>
              <w:rPr>
                <w:rFonts w:hint="eastAsia"/>
                <w:color w:val="000000"/>
                <w:kern w:val="0"/>
                <w:sz w:val="24"/>
              </w:rPr>
              <w:t xml:space="preserve">以上的高浓度 </w:t>
            </w:r>
            <w:r>
              <w:rPr>
                <w:color w:val="000000"/>
                <w:kern w:val="0"/>
                <w:sz w:val="24"/>
              </w:rPr>
              <w:t xml:space="preserve">VOCs </w:t>
            </w:r>
            <w:r>
              <w:rPr>
                <w:rFonts w:hint="eastAsia"/>
                <w:color w:val="000000"/>
                <w:kern w:val="0"/>
                <w:sz w:val="24"/>
              </w:rPr>
              <w:t xml:space="preserve">废气，优先采用冷凝、吸附回收等技术对废气中的 </w:t>
            </w:r>
            <w:r>
              <w:rPr>
                <w:color w:val="000000"/>
                <w:kern w:val="0"/>
                <w:sz w:val="24"/>
              </w:rPr>
              <w:t xml:space="preserve">VOCs </w:t>
            </w:r>
            <w:r>
              <w:rPr>
                <w:rFonts w:hint="eastAsia"/>
                <w:color w:val="000000"/>
                <w:kern w:val="0"/>
                <w:sz w:val="24"/>
              </w:rPr>
              <w:t xml:space="preserve">回收利用，并辅以其他治理技术实现达标排放。 </w:t>
            </w:r>
          </w:p>
          <w:p>
            <w:pPr>
              <w:widowControl/>
              <w:spacing w:line="360" w:lineRule="auto"/>
              <w:ind w:firstLine="480" w:firstLineChars="200"/>
              <w:jc w:val="left"/>
              <w:rPr>
                <w:color w:val="000000"/>
                <w:kern w:val="0"/>
                <w:sz w:val="24"/>
              </w:rPr>
            </w:pPr>
            <w:r>
              <w:rPr>
                <w:color w:val="000000"/>
                <w:kern w:val="0"/>
                <w:sz w:val="24"/>
              </w:rPr>
              <w:t>2</w:t>
            </w:r>
            <w:r>
              <w:rPr>
                <w:rFonts w:hint="eastAsia"/>
                <w:color w:val="000000"/>
                <w:kern w:val="0"/>
                <w:sz w:val="24"/>
              </w:rPr>
              <w:t xml:space="preserve">、对于 </w:t>
            </w:r>
            <w:r>
              <w:rPr>
                <w:color w:val="000000"/>
                <w:kern w:val="0"/>
                <w:sz w:val="24"/>
              </w:rPr>
              <w:t>1000ppm</w:t>
            </w:r>
            <w:r>
              <w:rPr>
                <w:rFonts w:hint="eastAsia"/>
                <w:color w:val="000000"/>
                <w:kern w:val="0"/>
                <w:sz w:val="24"/>
              </w:rPr>
              <w:t>～</w:t>
            </w:r>
            <w:r>
              <w:rPr>
                <w:color w:val="000000"/>
                <w:kern w:val="0"/>
                <w:sz w:val="24"/>
              </w:rPr>
              <w:t xml:space="preserve">5000ppm </w:t>
            </w:r>
            <w:r>
              <w:rPr>
                <w:rFonts w:hint="eastAsia"/>
                <w:color w:val="000000"/>
                <w:kern w:val="0"/>
                <w:sz w:val="24"/>
              </w:rPr>
              <w:t xml:space="preserve">的中等浓度 </w:t>
            </w:r>
            <w:r>
              <w:rPr>
                <w:color w:val="000000"/>
                <w:kern w:val="0"/>
                <w:sz w:val="24"/>
              </w:rPr>
              <w:t xml:space="preserve">VOCs </w:t>
            </w:r>
            <w:r>
              <w:rPr>
                <w:rFonts w:hint="eastAsia"/>
                <w:color w:val="000000"/>
                <w:kern w:val="0"/>
                <w:sz w:val="24"/>
              </w:rPr>
              <w:t>废气，具备回收价值的宜采用吸附技术回收有机溶剂，不具备回收价值的可采用催化燃烧、</w:t>
            </w:r>
            <w:r>
              <w:rPr>
                <w:color w:val="000000"/>
                <w:kern w:val="0"/>
                <w:sz w:val="24"/>
              </w:rPr>
              <w:t xml:space="preserve">RTO </w:t>
            </w:r>
            <w:r>
              <w:rPr>
                <w:rFonts w:hint="eastAsia"/>
                <w:color w:val="000000"/>
                <w:kern w:val="0"/>
                <w:sz w:val="24"/>
              </w:rPr>
              <w:t xml:space="preserve">炉高温焚烧等技术净化后达标排放。当采用热力焚烧技术进行净化时，宜对燃烧后的热量回收利用。 </w:t>
            </w:r>
          </w:p>
          <w:p>
            <w:pPr>
              <w:widowControl/>
              <w:spacing w:line="360" w:lineRule="auto"/>
              <w:ind w:firstLine="480" w:firstLineChars="200"/>
              <w:jc w:val="left"/>
              <w:rPr>
                <w:color w:val="000000"/>
                <w:kern w:val="0"/>
                <w:sz w:val="24"/>
              </w:rPr>
            </w:pPr>
            <w:r>
              <w:rPr>
                <w:color w:val="000000"/>
                <w:kern w:val="0"/>
                <w:sz w:val="24"/>
              </w:rPr>
              <w:t>3</w:t>
            </w:r>
            <w:r>
              <w:rPr>
                <w:rFonts w:hint="eastAsia"/>
                <w:color w:val="000000"/>
                <w:kern w:val="0"/>
                <w:sz w:val="24"/>
              </w:rPr>
              <w:t xml:space="preserve">、对于 </w:t>
            </w:r>
            <w:r>
              <w:rPr>
                <w:color w:val="000000"/>
                <w:kern w:val="0"/>
                <w:sz w:val="24"/>
              </w:rPr>
              <w:t xml:space="preserve">1000ppm </w:t>
            </w:r>
            <w:r>
              <w:rPr>
                <w:rFonts w:hint="eastAsia"/>
                <w:color w:val="000000"/>
                <w:kern w:val="0"/>
                <w:sz w:val="24"/>
              </w:rPr>
              <w:t xml:space="preserve">以下的低浓度 </w:t>
            </w:r>
            <w:r>
              <w:rPr>
                <w:color w:val="000000"/>
                <w:kern w:val="0"/>
                <w:sz w:val="24"/>
              </w:rPr>
              <w:t xml:space="preserve">VOCs </w:t>
            </w:r>
            <w:r>
              <w:rPr>
                <w:rFonts w:hint="eastAsia"/>
                <w:color w:val="000000"/>
                <w:kern w:val="0"/>
                <w:sz w:val="24"/>
              </w:rPr>
              <w:t>废气，有回收价值时宜采用吸附技术回收处理，无回收价值时优先采用吸附浓缩－高温燃烧、微生物处理、填料塔吸收等技术净化处理后达标排放。</w:t>
            </w:r>
          </w:p>
          <w:p>
            <w:pPr>
              <w:widowControl/>
              <w:spacing w:line="360" w:lineRule="auto"/>
              <w:ind w:firstLine="480" w:firstLineChars="200"/>
              <w:jc w:val="left"/>
              <w:rPr>
                <w:color w:val="000000"/>
                <w:kern w:val="0"/>
                <w:sz w:val="24"/>
              </w:rPr>
            </w:pPr>
            <w:r>
              <w:rPr>
                <w:color w:val="000000"/>
                <w:kern w:val="0"/>
                <w:sz w:val="24"/>
              </w:rPr>
              <w:t>4</w:t>
            </w:r>
            <w:r>
              <w:rPr>
                <w:rFonts w:hint="eastAsia"/>
                <w:color w:val="000000"/>
                <w:kern w:val="0"/>
                <w:sz w:val="24"/>
              </w:rPr>
              <w:t xml:space="preserve">、含恶臭类的气体可采用微生物净化技术、低温等离子技术、吸附或吸收技术、热力焚烧技术等净化后达标排放，同时不对周边敏感保护目标产生影响。 </w:t>
            </w:r>
          </w:p>
          <w:p>
            <w:pPr>
              <w:widowControl/>
              <w:spacing w:line="360" w:lineRule="auto"/>
              <w:ind w:firstLine="480" w:firstLineChars="200"/>
              <w:jc w:val="left"/>
              <w:rPr>
                <w:color w:val="000000"/>
                <w:kern w:val="0"/>
                <w:sz w:val="24"/>
              </w:rPr>
            </w:pPr>
            <w:r>
              <w:rPr>
                <w:color w:val="000000"/>
                <w:kern w:val="0"/>
                <w:sz w:val="24"/>
              </w:rPr>
              <w:t>5</w:t>
            </w:r>
            <w:r>
              <w:rPr>
                <w:rFonts w:hint="eastAsia"/>
                <w:color w:val="000000"/>
                <w:kern w:val="0"/>
                <w:sz w:val="24"/>
              </w:rPr>
              <w:t>、对含尘、含气溶胶、高湿废气，在采用活性炭吸附、催化燃烧、</w:t>
            </w:r>
            <w:r>
              <w:rPr>
                <w:color w:val="000000"/>
                <w:kern w:val="0"/>
                <w:sz w:val="24"/>
              </w:rPr>
              <w:t xml:space="preserve">RTO </w:t>
            </w:r>
            <w:r>
              <w:rPr>
                <w:rFonts w:hint="eastAsia"/>
                <w:color w:val="000000"/>
                <w:kern w:val="0"/>
                <w:sz w:val="24"/>
              </w:rPr>
              <w:t xml:space="preserve">焚烧、低温等离子等工艺处理前应先采用高效除尘、除雾等装置进行预处理。 </w:t>
            </w:r>
          </w:p>
          <w:p>
            <w:pPr>
              <w:widowControl/>
              <w:spacing w:line="360" w:lineRule="auto"/>
              <w:ind w:firstLine="480" w:firstLineChars="200"/>
              <w:jc w:val="left"/>
              <w:rPr>
                <w:color w:val="000000"/>
                <w:kern w:val="0"/>
                <w:sz w:val="24"/>
              </w:rPr>
            </w:pPr>
            <w:r>
              <w:rPr>
                <w:color w:val="000000"/>
                <w:kern w:val="0"/>
                <w:sz w:val="24"/>
              </w:rPr>
              <w:t>6</w:t>
            </w:r>
            <w:r>
              <w:rPr>
                <w:rFonts w:hint="eastAsia"/>
                <w:color w:val="000000"/>
                <w:kern w:val="0"/>
                <w:sz w:val="24"/>
              </w:rPr>
              <w:t>、对于高温焚烧过程中产生的含硫、氮、氯等的无机废气，以及吸附、吸收、冷凝、生物等治理工艺过程中所产生的含有机物的废水，应处理后达标排放。废吸附剂应按照相关管理要求规范处置，防范二次污染。</w:t>
            </w:r>
          </w:p>
          <w:p>
            <w:pPr>
              <w:widowControl/>
              <w:spacing w:line="360" w:lineRule="auto"/>
              <w:ind w:firstLine="480" w:firstLineChars="200"/>
              <w:jc w:val="left"/>
              <w:rPr>
                <w:color w:val="000000"/>
                <w:kern w:val="0"/>
                <w:sz w:val="24"/>
              </w:rPr>
            </w:pPr>
            <w:r>
              <w:rPr>
                <w:rFonts w:hint="eastAsia"/>
                <w:color w:val="000000"/>
                <w:kern w:val="0"/>
                <w:sz w:val="24"/>
              </w:rPr>
              <w:t xml:space="preserve">本项目生产过程中产生的废气为远低于 </w:t>
            </w:r>
            <w:r>
              <w:rPr>
                <w:color w:val="000000"/>
                <w:kern w:val="0"/>
                <w:sz w:val="24"/>
              </w:rPr>
              <w:t xml:space="preserve">1000ppm </w:t>
            </w:r>
            <w:r>
              <w:rPr>
                <w:rFonts w:hint="eastAsia"/>
                <w:color w:val="000000"/>
                <w:kern w:val="0"/>
                <w:sz w:val="24"/>
              </w:rPr>
              <w:t xml:space="preserve">的浓度范围的低浓度 </w:t>
            </w:r>
            <w:r>
              <w:rPr>
                <w:color w:val="000000"/>
                <w:kern w:val="0"/>
                <w:sz w:val="24"/>
              </w:rPr>
              <w:t xml:space="preserve">VOCs </w:t>
            </w:r>
            <w:r>
              <w:rPr>
                <w:rFonts w:hint="eastAsia"/>
                <w:color w:val="000000"/>
                <w:kern w:val="0"/>
                <w:sz w:val="24"/>
              </w:rPr>
              <w:t>废气，采用二级活性炭吸附装置进行处理，去除效率可达 8</w:t>
            </w:r>
            <w:r>
              <w:rPr>
                <w:color w:val="000000"/>
                <w:kern w:val="0"/>
                <w:sz w:val="24"/>
              </w:rPr>
              <w:t>0%</w:t>
            </w:r>
            <w:r>
              <w:rPr>
                <w:rFonts w:hint="eastAsia"/>
                <w:color w:val="000000"/>
                <w:kern w:val="0"/>
                <w:sz w:val="24"/>
              </w:rPr>
              <w:t>，与上述内容相符。</w:t>
            </w:r>
          </w:p>
          <w:p>
            <w:pPr>
              <w:widowControl/>
              <w:spacing w:line="360" w:lineRule="auto"/>
              <w:ind w:firstLine="480" w:firstLineChars="200"/>
              <w:jc w:val="left"/>
              <w:rPr>
                <w:b/>
                <w:bCs/>
                <w:color w:val="000000"/>
                <w:kern w:val="0"/>
                <w:sz w:val="24"/>
              </w:rPr>
            </w:pPr>
            <w:r>
              <w:rPr>
                <w:rFonts w:hint="eastAsia"/>
                <w:b/>
                <w:bCs/>
                <w:color w:val="000000"/>
                <w:kern w:val="0"/>
                <w:sz w:val="24"/>
              </w:rPr>
              <w:t>4.3</w:t>
            </w:r>
            <w:r>
              <w:rPr>
                <w:b/>
                <w:bCs/>
                <w:color w:val="000000"/>
                <w:kern w:val="0"/>
                <w:sz w:val="24"/>
              </w:rPr>
              <w:t xml:space="preserve"> </w:t>
            </w:r>
            <w:r>
              <w:rPr>
                <w:rFonts w:hint="eastAsia"/>
                <w:b/>
                <w:bCs/>
                <w:color w:val="000000"/>
                <w:kern w:val="0"/>
                <w:sz w:val="24"/>
              </w:rPr>
              <w:t>与《江苏省挥发性有机物管理办法》相符性分析</w:t>
            </w:r>
          </w:p>
          <w:p>
            <w:pPr>
              <w:widowControl/>
              <w:spacing w:line="360" w:lineRule="auto"/>
              <w:ind w:firstLine="480" w:firstLineChars="200"/>
              <w:jc w:val="left"/>
              <w:rPr>
                <w:color w:val="000000"/>
                <w:kern w:val="0"/>
                <w:sz w:val="24"/>
              </w:rPr>
            </w:pPr>
            <w:r>
              <w:rPr>
                <w:rFonts w:hint="eastAsia"/>
                <w:color w:val="000000"/>
                <w:kern w:val="0"/>
                <w:sz w:val="24"/>
              </w:rPr>
              <w:t xml:space="preserve">根据《江苏省挥发性有机物管理办法》： </w:t>
            </w:r>
          </w:p>
          <w:p>
            <w:pPr>
              <w:widowControl/>
              <w:spacing w:line="360" w:lineRule="auto"/>
              <w:ind w:firstLine="480" w:firstLineChars="200"/>
              <w:jc w:val="left"/>
              <w:rPr>
                <w:color w:val="000000"/>
                <w:kern w:val="0"/>
                <w:sz w:val="24"/>
              </w:rPr>
            </w:pPr>
            <w:r>
              <w:rPr>
                <w:rFonts w:hint="eastAsia"/>
                <w:color w:val="000000"/>
                <w:kern w:val="0"/>
                <w:sz w:val="24"/>
              </w:rPr>
              <w:t xml:space="preserve">新建、改建、扩建排放挥发性有机物的建设项目，应当依法进行环境影响评价。新增挥发性有机物排放总量指标的不足部分，可以依照有关规定通过排污权交易取得。 </w:t>
            </w:r>
          </w:p>
          <w:p>
            <w:pPr>
              <w:widowControl/>
              <w:spacing w:line="360" w:lineRule="auto"/>
              <w:ind w:firstLine="480" w:firstLineChars="200"/>
              <w:jc w:val="left"/>
              <w:rPr>
                <w:color w:val="000000"/>
                <w:kern w:val="0"/>
                <w:sz w:val="24"/>
              </w:rPr>
            </w:pPr>
            <w:r>
              <w:rPr>
                <w:rFonts w:hint="eastAsia"/>
                <w:color w:val="000000"/>
                <w:kern w:val="0"/>
                <w:sz w:val="24"/>
              </w:rPr>
              <w:t xml:space="preserve">建设项目的环境影响评价文件未经审查或者审查后未予批准的，建设单位不得开工建设。 </w:t>
            </w:r>
          </w:p>
          <w:p>
            <w:pPr>
              <w:widowControl/>
              <w:spacing w:line="360" w:lineRule="auto"/>
              <w:ind w:firstLine="480" w:firstLineChars="200"/>
              <w:jc w:val="left"/>
              <w:rPr>
                <w:color w:val="000000"/>
                <w:kern w:val="0"/>
                <w:sz w:val="24"/>
              </w:rPr>
            </w:pPr>
            <w:r>
              <w:rPr>
                <w:rFonts w:hint="eastAsia"/>
                <w:color w:val="000000"/>
                <w:kern w:val="0"/>
                <w:sz w:val="24"/>
              </w:rPr>
              <w:t>第二十一条 产生挥发性有机物废气的生产经营活动应当在密闭空间或者密闭设备中进行。生产场所、生产设备应当按照环境保护和安全生产等要求设计、安装和有效运行挥发性有机物回收或者净化设施；固体废物、废水、废气处理系统产生的废气应当收集和处理；含有挥发性有机物的物料应当密闭储存、运输、装卸，禁止敞口和露天放置。无法再密闭空间进行的生产经营活动应当采取有效措施，减少挥发性有机物排放量。</w:t>
            </w:r>
          </w:p>
          <w:p>
            <w:pPr>
              <w:widowControl/>
              <w:spacing w:line="360" w:lineRule="auto"/>
              <w:ind w:firstLine="480" w:firstLineChars="200"/>
              <w:jc w:val="left"/>
              <w:rPr>
                <w:color w:val="000000"/>
                <w:kern w:val="0"/>
                <w:sz w:val="24"/>
              </w:rPr>
            </w:pPr>
            <w:r>
              <w:rPr>
                <w:rFonts w:hint="eastAsia"/>
                <w:color w:val="000000"/>
                <w:kern w:val="0"/>
                <w:sz w:val="24"/>
              </w:rPr>
              <w:t>本项目注塑工段无法密闭，注塑工段产生的有机废气产生工序采用集气罩收集废气，同时采用二级活性炭吸附装置进行处理，减少挥发性有机物的排放，废活性炭委托有资质单位处置，符合相关要求。</w:t>
            </w:r>
          </w:p>
          <w:p>
            <w:pPr>
              <w:widowControl/>
              <w:spacing w:line="360" w:lineRule="auto"/>
              <w:ind w:firstLine="480" w:firstLineChars="200"/>
              <w:jc w:val="left"/>
              <w:rPr>
                <w:b/>
                <w:bCs/>
                <w:color w:val="000000"/>
                <w:kern w:val="0"/>
                <w:sz w:val="24"/>
              </w:rPr>
            </w:pPr>
            <w:r>
              <w:rPr>
                <w:rFonts w:hint="eastAsia"/>
                <w:b/>
                <w:bCs/>
                <w:color w:val="000000"/>
                <w:kern w:val="0"/>
                <w:sz w:val="24"/>
              </w:rPr>
              <w:t>4.4</w:t>
            </w:r>
            <w:r>
              <w:rPr>
                <w:b/>
                <w:bCs/>
                <w:color w:val="000000"/>
                <w:kern w:val="0"/>
                <w:sz w:val="24"/>
              </w:rPr>
              <w:t xml:space="preserve"> </w:t>
            </w:r>
            <w:r>
              <w:rPr>
                <w:rFonts w:hint="eastAsia"/>
                <w:b/>
                <w:bCs/>
                <w:color w:val="000000"/>
                <w:kern w:val="0"/>
                <w:sz w:val="24"/>
              </w:rPr>
              <w:t>与《重点行业挥发性有机物综合治理方案》相符性分析</w:t>
            </w:r>
          </w:p>
          <w:p>
            <w:pPr>
              <w:widowControl/>
              <w:spacing w:line="360" w:lineRule="auto"/>
              <w:ind w:firstLine="480" w:firstLineChars="200"/>
              <w:jc w:val="left"/>
              <w:rPr>
                <w:color w:val="000000"/>
                <w:kern w:val="0"/>
                <w:sz w:val="24"/>
              </w:rPr>
            </w:pPr>
            <w:r>
              <w:rPr>
                <w:rFonts w:hint="eastAsia"/>
                <w:color w:val="000000"/>
                <w:kern w:val="0"/>
                <w:sz w:val="24"/>
              </w:rPr>
              <w:t>通过使用水性，粉末、高固体分、无溶剂、辐射固化等低 VOCs 含量的涂料，从源头减少 VOCs 产生；重点对含 VOCs 物料(包括含 VOCs 原辅材料、含 VOCs 产品、含 VOCs 废科以及有机 聚合物材料等)储存、转移和输送、设备与管线组件泄漏、敞开液面逸散以及工艺过程 等五类排放源实施管控，通过采取设备与场所密闭、工艺改进、废气有效收集等措施， 削减 VOCs 无组织排放。全面加强无组织排放控制。遵循“应收尽收、分质收集”的原则，科学设计废气收集系统，将无组织排放转变为有组织排放进行控制。加大汽车、家具、集装箱、电子产品，工程机械等行业 VOCs 治理力度，重点区域应结合本地产业特征，加快实施其他行业涂装 VOCs 综合治理。</w:t>
            </w:r>
          </w:p>
          <w:p>
            <w:pPr>
              <w:widowControl/>
              <w:spacing w:line="360" w:lineRule="auto"/>
              <w:ind w:firstLine="480" w:firstLineChars="200"/>
              <w:jc w:val="left"/>
              <w:rPr>
                <w:color w:val="000000"/>
                <w:kern w:val="0"/>
                <w:sz w:val="24"/>
              </w:rPr>
            </w:pPr>
            <w:r>
              <w:rPr>
                <w:rFonts w:hint="eastAsia"/>
                <w:color w:val="000000"/>
                <w:kern w:val="0"/>
                <w:sz w:val="24"/>
              </w:rPr>
              <w:t>本项目不使用涂料、油墨、胶黏剂，有机废气产生工序采用集气罩收集废气，同时采用二级活性炭吸附装置进行处理，废活性炭委托有资质单位处置，符合相关要求。</w:t>
            </w:r>
          </w:p>
          <w:p>
            <w:pPr>
              <w:widowControl/>
              <w:spacing w:line="360" w:lineRule="auto"/>
              <w:ind w:firstLine="480" w:firstLineChars="200"/>
              <w:jc w:val="left"/>
              <w:rPr>
                <w:b/>
                <w:bCs/>
                <w:sz w:val="24"/>
              </w:rPr>
            </w:pPr>
            <w:r>
              <w:rPr>
                <w:rFonts w:hint="eastAsia"/>
                <w:b/>
                <w:bCs/>
                <w:sz w:val="24"/>
              </w:rPr>
              <w:t>5、与《省生态环境厅关于进一步做好建设项目环评审批工作的通知》（苏环办[2019]36号）相符性分析</w:t>
            </w:r>
          </w:p>
          <w:p>
            <w:pPr>
              <w:pStyle w:val="11"/>
              <w:widowControl w:val="0"/>
              <w:spacing w:line="240" w:lineRule="auto"/>
              <w:ind w:firstLine="0" w:firstLineChars="0"/>
              <w:jc w:val="center"/>
            </w:pPr>
            <w:r>
              <w:rPr>
                <w:rFonts w:ascii="Times New Roman" w:hAnsi="Times New Roman" w:eastAsia="宋体"/>
                <w:b/>
                <w:bCs/>
                <w:sz w:val="21"/>
                <w:szCs w:val="21"/>
              </w:rPr>
              <w:t>表1</w:t>
            </w:r>
            <w:r>
              <w:rPr>
                <w:rFonts w:hint="eastAsia" w:ascii="Times New Roman" w:hAnsi="Times New Roman" w:eastAsia="宋体"/>
                <w:b/>
                <w:bCs/>
                <w:sz w:val="21"/>
                <w:szCs w:val="21"/>
              </w:rPr>
              <w:t>-7</w:t>
            </w:r>
            <w:r>
              <w:rPr>
                <w:rFonts w:ascii="Times New Roman" w:hAnsi="Times New Roman" w:eastAsia="宋体"/>
                <w:b/>
                <w:bCs/>
                <w:sz w:val="21"/>
                <w:szCs w:val="21"/>
              </w:rPr>
              <w:t xml:space="preserve"> 本项目</w:t>
            </w:r>
            <w:r>
              <w:rPr>
                <w:rFonts w:hint="eastAsia" w:ascii="Times New Roman" w:hAnsi="Times New Roman" w:eastAsia="宋体"/>
                <w:b/>
                <w:bCs/>
                <w:sz w:val="21"/>
                <w:szCs w:val="21"/>
              </w:rPr>
              <w:t>与苏环</w:t>
            </w:r>
            <w:r>
              <w:rPr>
                <w:rFonts w:ascii="Times New Roman" w:hAnsi="Times New Roman" w:eastAsia="宋体"/>
                <w:b/>
                <w:bCs/>
                <w:sz w:val="21"/>
                <w:szCs w:val="21"/>
              </w:rPr>
              <w:t>办</w:t>
            </w:r>
            <w:r>
              <w:rPr>
                <w:rFonts w:ascii="Times New Roman" w:hAnsi="Times New Roman"/>
                <w:b/>
                <w:bCs/>
                <w:sz w:val="21"/>
                <w:szCs w:val="21"/>
              </w:rPr>
              <w:t>[2019]36</w:t>
            </w:r>
            <w:r>
              <w:rPr>
                <w:rFonts w:hint="eastAsia" w:ascii="宋体" w:hAnsi="宋体" w:eastAsia="宋体" w:cs="宋体"/>
                <w:b/>
                <w:bCs/>
                <w:sz w:val="21"/>
                <w:szCs w:val="21"/>
              </w:rPr>
              <w:t>号相</w:t>
            </w:r>
            <w:r>
              <w:rPr>
                <w:rFonts w:ascii="Times New Roman" w:hAnsi="Times New Roman" w:eastAsia="宋体"/>
                <w:b/>
                <w:bCs/>
                <w:sz w:val="21"/>
                <w:szCs w:val="21"/>
              </w:rPr>
              <w:t>符性分析</w:t>
            </w:r>
            <w:r>
              <w:rPr>
                <w:rFonts w:hint="eastAsia" w:ascii="Times New Roman" w:hAnsi="Times New Roman" w:eastAsia="宋体"/>
                <w:b/>
                <w:bCs/>
                <w:sz w:val="21"/>
                <w:szCs w:val="21"/>
              </w:rPr>
              <w:t>情况对照表</w:t>
            </w:r>
          </w:p>
          <w:tbl>
            <w:tblPr>
              <w:tblStyle w:val="9"/>
              <w:tblW w:w="88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4140"/>
              <w:gridCol w:w="2100"/>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1" w:type="dxa"/>
                  <w:tcBorders>
                    <w:top w:val="single" w:color="auto" w:sz="12" w:space="0"/>
                    <w:left w:val="nil"/>
                  </w:tcBorders>
                </w:tcPr>
                <w:p>
                  <w:pPr>
                    <w:pStyle w:val="11"/>
                    <w:widowControl w:val="0"/>
                    <w:spacing w:line="36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相关文献</w:t>
                  </w:r>
                </w:p>
              </w:tc>
              <w:tc>
                <w:tcPr>
                  <w:tcW w:w="4140" w:type="dxa"/>
                  <w:tcBorders>
                    <w:top w:val="single" w:color="auto" w:sz="12" w:space="0"/>
                  </w:tcBorders>
                </w:tcPr>
                <w:p>
                  <w:pPr>
                    <w:pStyle w:val="11"/>
                    <w:widowControl w:val="0"/>
                    <w:spacing w:line="36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通知内容</w:t>
                  </w:r>
                </w:p>
              </w:tc>
              <w:tc>
                <w:tcPr>
                  <w:tcW w:w="2100" w:type="dxa"/>
                  <w:tcBorders>
                    <w:top w:val="single" w:color="auto" w:sz="12" w:space="0"/>
                  </w:tcBorders>
                </w:tcPr>
                <w:p>
                  <w:pPr>
                    <w:pStyle w:val="11"/>
                    <w:widowControl w:val="0"/>
                    <w:spacing w:line="36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本项目情况</w:t>
                  </w:r>
                </w:p>
              </w:tc>
              <w:tc>
                <w:tcPr>
                  <w:tcW w:w="895" w:type="dxa"/>
                  <w:tcBorders>
                    <w:top w:val="single" w:color="auto" w:sz="12" w:space="0"/>
                    <w:right w:val="nil"/>
                  </w:tcBorders>
                </w:tcPr>
                <w:p>
                  <w:pPr>
                    <w:pStyle w:val="11"/>
                    <w:widowControl w:val="0"/>
                    <w:spacing w:line="360" w:lineRule="auto"/>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1" w:type="dxa"/>
                  <w:tcBorders>
                    <w:left w:val="nil"/>
                  </w:tcBorders>
                  <w:vAlign w:val="center"/>
                </w:tcPr>
                <w:p>
                  <w:pPr>
                    <w:pStyle w:val="11"/>
                    <w:widowControl w:val="0"/>
                    <w:spacing w:line="36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《建设项目环境保护管理条例》</w:t>
                  </w:r>
                </w:p>
              </w:tc>
              <w:tc>
                <w:tcPr>
                  <w:tcW w:w="4140" w:type="dxa"/>
                  <w:vAlign w:val="center"/>
                </w:tcPr>
                <w:p>
                  <w:pPr>
                    <w:pStyle w:val="11"/>
                    <w:widowControl w:val="0"/>
                    <w:spacing w:line="36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有下列情形之一的，不予批准：</w:t>
                  </w:r>
                </w:p>
                <w:p>
                  <w:pPr>
                    <w:pStyle w:val="11"/>
                    <w:widowControl w:val="0"/>
                    <w:spacing w:line="36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（1）建设项目类型及其选址、布局、规模等不符合环境保护法律法规和相关法定规划；</w:t>
                  </w:r>
                </w:p>
                <w:p>
                  <w:pPr>
                    <w:pStyle w:val="11"/>
                    <w:widowControl w:val="0"/>
                    <w:spacing w:line="36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r>
                    <w:rPr>
                      <w:rFonts w:ascii="Times New Roman" w:hAnsi="Times New Roman" w:eastAsia="宋体"/>
                      <w:sz w:val="21"/>
                      <w:szCs w:val="21"/>
                    </w:rPr>
                    <w:t>2</w:t>
                  </w:r>
                  <w:r>
                    <w:rPr>
                      <w:rFonts w:hint="eastAsia" w:ascii="Times New Roman" w:hAnsi="Times New Roman" w:eastAsia="宋体"/>
                      <w:sz w:val="21"/>
                      <w:szCs w:val="21"/>
                    </w:rPr>
                    <w:t>）所在区域环境质量未达到国家或者地方环境质量标准，且建设项目拟采取的措施不能满足区域环境质量改善目标管理要求；</w:t>
                  </w:r>
                </w:p>
                <w:p>
                  <w:pPr>
                    <w:pStyle w:val="11"/>
                    <w:widowControl w:val="0"/>
                    <w:spacing w:line="36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r>
                    <w:rPr>
                      <w:rFonts w:ascii="Times New Roman" w:hAnsi="Times New Roman" w:eastAsia="宋体"/>
                      <w:sz w:val="21"/>
                      <w:szCs w:val="21"/>
                    </w:rPr>
                    <w:t>3</w:t>
                  </w:r>
                  <w:r>
                    <w:rPr>
                      <w:rFonts w:hint="eastAsia" w:ascii="Times New Roman" w:hAnsi="Times New Roman" w:eastAsia="宋体"/>
                      <w:sz w:val="21"/>
                      <w:szCs w:val="21"/>
                    </w:rPr>
                    <w:t xml:space="preserve">）建设项目采取的污染防治措施无法确保污染物排放达到国家和地方排放标准，或者未采取必要措施预防和控制生态破坏； </w:t>
                  </w:r>
                </w:p>
                <w:p>
                  <w:pPr>
                    <w:pStyle w:val="11"/>
                    <w:widowControl w:val="0"/>
                    <w:spacing w:line="36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改建、扩建和技术改造项目，未针对项目原有环境污染和生态破坏提出有效防止措施；</w:t>
                  </w:r>
                </w:p>
                <w:p>
                  <w:pPr>
                    <w:pStyle w:val="11"/>
                    <w:widowControl w:val="0"/>
                    <w:spacing w:line="36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r>
                    <w:rPr>
                      <w:rFonts w:ascii="Times New Roman" w:hAnsi="Times New Roman" w:eastAsia="宋体"/>
                      <w:sz w:val="21"/>
                      <w:szCs w:val="21"/>
                    </w:rPr>
                    <w:t>5</w:t>
                  </w:r>
                  <w:r>
                    <w:rPr>
                      <w:rFonts w:hint="eastAsia" w:ascii="Times New Roman" w:hAnsi="Times New Roman" w:eastAsia="宋体"/>
                      <w:sz w:val="21"/>
                      <w:szCs w:val="21"/>
                    </w:rPr>
                    <w:t>）建设项目的环境影响报告书、环境影响报告表的基础资料数据明显不实，内容存在重大缺陷、遗漏，或者环境影响评价结论不明确、不合理。</w:t>
                  </w:r>
                </w:p>
              </w:tc>
              <w:tc>
                <w:tcPr>
                  <w:tcW w:w="2100" w:type="dxa"/>
                  <w:vAlign w:val="center"/>
                </w:tcPr>
                <w:p>
                  <w:pPr>
                    <w:pStyle w:val="11"/>
                    <w:widowControl w:val="0"/>
                    <w:spacing w:line="36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r>
                    <w:rPr>
                      <w:rFonts w:ascii="Times New Roman" w:hAnsi="Times New Roman" w:eastAsia="宋体"/>
                      <w:sz w:val="21"/>
                      <w:szCs w:val="21"/>
                    </w:rPr>
                    <w:t>1</w:t>
                  </w:r>
                  <w:r>
                    <w:rPr>
                      <w:rFonts w:hint="eastAsia" w:ascii="Times New Roman" w:hAnsi="Times New Roman" w:eastAsia="宋体"/>
                      <w:sz w:val="21"/>
                      <w:szCs w:val="21"/>
                    </w:rPr>
                    <w:t>）建设项目类型及其选址、布局、规模等符合环境保护法律法规和相关法定规划；</w:t>
                  </w:r>
                </w:p>
                <w:p>
                  <w:pPr>
                    <w:pStyle w:val="11"/>
                    <w:widowControl w:val="0"/>
                    <w:spacing w:line="36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r>
                    <w:rPr>
                      <w:rFonts w:ascii="Times New Roman" w:hAnsi="Times New Roman" w:eastAsia="宋体"/>
                      <w:sz w:val="21"/>
                      <w:szCs w:val="21"/>
                    </w:rPr>
                    <w:t>2</w:t>
                  </w:r>
                  <w:r>
                    <w:rPr>
                      <w:rFonts w:hint="eastAsia" w:ascii="Times New Roman" w:hAnsi="Times New Roman" w:eastAsia="宋体"/>
                      <w:sz w:val="21"/>
                      <w:szCs w:val="21"/>
                    </w:rPr>
                    <w:t>）项目所在地为环境质量不达标区，项目拟采取的措施满足现有环保要求；（</w:t>
                  </w:r>
                  <w:r>
                    <w:rPr>
                      <w:rFonts w:ascii="Times New Roman" w:hAnsi="Times New Roman" w:eastAsia="宋体"/>
                      <w:sz w:val="21"/>
                      <w:szCs w:val="21"/>
                    </w:rPr>
                    <w:t>3</w:t>
                  </w:r>
                  <w:r>
                    <w:rPr>
                      <w:rFonts w:hint="eastAsia" w:ascii="Times New Roman" w:hAnsi="Times New Roman" w:eastAsia="宋体"/>
                      <w:sz w:val="21"/>
                      <w:szCs w:val="21"/>
                    </w:rPr>
                    <w:t>）建设项目采取的污染防治措施确保污染物排放达到国家和地方排放标准。</w:t>
                  </w:r>
                </w:p>
              </w:tc>
              <w:tc>
                <w:tcPr>
                  <w:tcW w:w="895" w:type="dxa"/>
                  <w:tcBorders>
                    <w:right w:val="nil"/>
                  </w:tcBorders>
                  <w:vAlign w:val="center"/>
                </w:tcPr>
                <w:p>
                  <w:pPr>
                    <w:pStyle w:val="11"/>
                    <w:widowControl w:val="0"/>
                    <w:spacing w:line="36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1" w:type="dxa"/>
                  <w:tcBorders>
                    <w:left w:val="nil"/>
                  </w:tcBorders>
                  <w:vAlign w:val="center"/>
                </w:tcPr>
                <w:p>
                  <w:pPr>
                    <w:pStyle w:val="11"/>
                    <w:widowControl w:val="0"/>
                    <w:spacing w:line="36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《农用地土壤环境管理办法（试行）》（环境保护部 农业部令第46号）</w:t>
                  </w:r>
                </w:p>
              </w:tc>
              <w:tc>
                <w:tcPr>
                  <w:tcW w:w="4140" w:type="dxa"/>
                  <w:vAlign w:val="center"/>
                </w:tcPr>
                <w:p>
                  <w:pPr>
                    <w:pStyle w:val="11"/>
                    <w:widowControl w:val="0"/>
                    <w:spacing w:line="36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严格控制在优先保护类耕地集中区域新建有色金属冶炼、石油加工、化工、焦化、电镀、制革等行业企业，有关环境保护主管部门依法不予审批可能造成耕地土壤污染的建设项目环境影响报告书或者报告表。</w:t>
                  </w:r>
                </w:p>
              </w:tc>
              <w:tc>
                <w:tcPr>
                  <w:tcW w:w="2100" w:type="dxa"/>
                  <w:vAlign w:val="center"/>
                </w:tcPr>
                <w:p>
                  <w:pPr>
                    <w:pStyle w:val="11"/>
                    <w:widowControl w:val="0"/>
                    <w:spacing w:line="36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本项目用地不属于优先保护类耕地集中区域</w:t>
                  </w:r>
                </w:p>
              </w:tc>
              <w:tc>
                <w:tcPr>
                  <w:tcW w:w="895" w:type="dxa"/>
                  <w:tcBorders>
                    <w:right w:val="nil"/>
                  </w:tcBorders>
                  <w:vAlign w:val="center"/>
                </w:tcPr>
                <w:p>
                  <w:pPr>
                    <w:pStyle w:val="11"/>
                    <w:widowControl w:val="0"/>
                    <w:spacing w:line="36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1" w:type="dxa"/>
                  <w:tcBorders>
                    <w:left w:val="nil"/>
                  </w:tcBorders>
                  <w:vAlign w:val="center"/>
                </w:tcPr>
                <w:p>
                  <w:pPr>
                    <w:pStyle w:val="11"/>
                    <w:widowControl w:val="0"/>
                    <w:spacing w:line="36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《关于印发&lt;建设项目主要污染物排放总量指标审核及管理暂行办法&gt;的通知》（环发【2014】197号）</w:t>
                  </w:r>
                </w:p>
              </w:tc>
              <w:tc>
                <w:tcPr>
                  <w:tcW w:w="4140" w:type="dxa"/>
                  <w:vAlign w:val="center"/>
                </w:tcPr>
                <w:p>
                  <w:pPr>
                    <w:pStyle w:val="11"/>
                    <w:widowControl w:val="0"/>
                    <w:spacing w:line="36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严格落实污染物排放总量控制制度，把主要污染物排放总量指标作为建设项目环境影响评价审批的前置条件。排放主要污染物的建设项目，在环境影响评价文件审批前，须取得主要污染物排放总量指标。</w:t>
                  </w:r>
                </w:p>
              </w:tc>
              <w:tc>
                <w:tcPr>
                  <w:tcW w:w="2100" w:type="dxa"/>
                  <w:vAlign w:val="center"/>
                </w:tcPr>
                <w:p>
                  <w:pPr>
                    <w:pStyle w:val="11"/>
                    <w:widowControl w:val="0"/>
                    <w:spacing w:line="36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本项目将在环境影响评价文件审批前，取得主要污染物排放总量指标，在项目所在区域内平衡</w:t>
                  </w:r>
                </w:p>
              </w:tc>
              <w:tc>
                <w:tcPr>
                  <w:tcW w:w="895" w:type="dxa"/>
                  <w:tcBorders>
                    <w:right w:val="nil"/>
                  </w:tcBorders>
                  <w:vAlign w:val="center"/>
                </w:tcPr>
                <w:p>
                  <w:pPr>
                    <w:pStyle w:val="11"/>
                    <w:widowControl w:val="0"/>
                    <w:spacing w:line="36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1" w:type="dxa"/>
                  <w:tcBorders>
                    <w:left w:val="nil"/>
                  </w:tcBorders>
                  <w:vAlign w:val="center"/>
                </w:tcPr>
                <w:p>
                  <w:pPr>
                    <w:pStyle w:val="11"/>
                    <w:widowControl w:val="0"/>
                    <w:spacing w:line="36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《关于以改善环境质量为核心加强环境影响评价管理的通知》（环环评【2016】150号）</w:t>
                  </w:r>
                </w:p>
              </w:tc>
              <w:tc>
                <w:tcPr>
                  <w:tcW w:w="4140" w:type="dxa"/>
                  <w:vAlign w:val="center"/>
                </w:tcPr>
                <w:p>
                  <w:pPr>
                    <w:pStyle w:val="11"/>
                    <w:widowControl w:val="0"/>
                    <w:spacing w:line="36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（1）规划环评要作为规划所包含项目环评的重要依据，对于不符合规划环评结论及审查意见的项目环评，依法不予审批。</w:t>
                  </w:r>
                </w:p>
                <w:p>
                  <w:pPr>
                    <w:pStyle w:val="11"/>
                    <w:widowControl w:val="0"/>
                    <w:spacing w:line="360" w:lineRule="auto"/>
                    <w:ind w:firstLine="0" w:firstLineChars="0"/>
                    <w:rPr>
                      <w:rFonts w:ascii="Times New Roman" w:hAnsi="Times New Roman" w:eastAsia="宋体"/>
                      <w:sz w:val="21"/>
                      <w:szCs w:val="21"/>
                    </w:rPr>
                  </w:pPr>
                  <w:r>
                    <w:rPr>
                      <w:rFonts w:hint="eastAsia" w:ascii="Times New Roman" w:hAnsi="Times New Roman" w:eastAsia="宋体"/>
                      <w:sz w:val="21"/>
                      <w:szCs w:val="21"/>
                    </w:rPr>
                    <w:t>（2）对于现有同类型项目环境污染或生态破坏严重、环境违法违规现象多发，致使环境容量接近或超过承载能力的地区，在现有问题整改到位前，依法暂停审批该地区同类行业的项目环评文件。</w:t>
                  </w:r>
                </w:p>
                <w:p>
                  <w:pPr>
                    <w:pStyle w:val="11"/>
                    <w:widowControl w:val="0"/>
                    <w:spacing w:line="36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r>
                    <w:rPr>
                      <w:rFonts w:ascii="Times New Roman" w:hAnsi="Times New Roman" w:eastAsia="宋体"/>
                      <w:sz w:val="21"/>
                      <w:szCs w:val="21"/>
                    </w:rPr>
                    <w:t>3</w:t>
                  </w:r>
                  <w:r>
                    <w:rPr>
                      <w:rFonts w:hint="eastAsia" w:ascii="Times New Roman" w:hAnsi="Times New Roman" w:eastAsia="宋体"/>
                      <w:sz w:val="21"/>
                      <w:szCs w:val="21"/>
                    </w:rPr>
                    <w:t>）对环境质量现状超标的地区，项目拟采取的措施不能满足区域环境质量改善目标管理要求的，依法不予审批其环评文件。对未达到环境质量目标考核要求的地区， 除民生项目与节能减排项目外，依法暂停审批该地区新增排放相应重点污染物的项目环评文件。除受自然条件限制、确实无法避让的铁路、公路、航道、防洪、管道、干渠、通讯、输变电等重要基础设施项目外，在生态保护红线范围内，严控各类开发建设活动，依法不予审批新建工业项目和矿产开发项目的环评文件。</w:t>
                  </w:r>
                </w:p>
              </w:tc>
              <w:tc>
                <w:tcPr>
                  <w:tcW w:w="2100" w:type="dxa"/>
                  <w:vAlign w:val="center"/>
                </w:tcPr>
                <w:p>
                  <w:pPr>
                    <w:pStyle w:val="11"/>
                    <w:widowControl w:val="0"/>
                    <w:spacing w:line="36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r>
                    <w:rPr>
                      <w:rFonts w:ascii="Times New Roman" w:hAnsi="Times New Roman" w:eastAsia="宋体"/>
                      <w:sz w:val="21"/>
                      <w:szCs w:val="21"/>
                    </w:rPr>
                    <w:t>1</w:t>
                  </w:r>
                  <w:r>
                    <w:rPr>
                      <w:rFonts w:hint="eastAsia" w:ascii="Times New Roman" w:hAnsi="Times New Roman" w:eastAsia="宋体"/>
                      <w:sz w:val="21"/>
                      <w:szCs w:val="21"/>
                    </w:rPr>
                    <w:t>）本项目建设内容符合所在地区规划内容，且不在生态保护红线范围内</w:t>
                  </w:r>
                </w:p>
                <w:p>
                  <w:pPr>
                    <w:pStyle w:val="11"/>
                    <w:widowControl w:val="0"/>
                    <w:spacing w:line="36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w:t>
                  </w:r>
                  <w:r>
                    <w:rPr>
                      <w:rFonts w:ascii="Times New Roman" w:hAnsi="Times New Roman" w:eastAsia="宋体"/>
                      <w:sz w:val="21"/>
                      <w:szCs w:val="21"/>
                    </w:rPr>
                    <w:t>2</w:t>
                  </w:r>
                  <w:r>
                    <w:rPr>
                      <w:rFonts w:hint="eastAsia" w:ascii="Times New Roman" w:hAnsi="Times New Roman" w:eastAsia="宋体"/>
                      <w:sz w:val="21"/>
                      <w:szCs w:val="21"/>
                    </w:rPr>
                    <w:t>）项目所在地为不达标区，本项目各废气因子排放量较小，对周围保护目标影响均较小，均未超过各 因子的环境质量标准。因此，项目排放的大气污染物对周围空气环境影响较小。</w:t>
                  </w:r>
                </w:p>
              </w:tc>
              <w:tc>
                <w:tcPr>
                  <w:tcW w:w="895" w:type="dxa"/>
                  <w:tcBorders>
                    <w:right w:val="nil"/>
                  </w:tcBorders>
                  <w:vAlign w:val="center"/>
                </w:tcPr>
                <w:p>
                  <w:pPr>
                    <w:pStyle w:val="11"/>
                    <w:widowControl w:val="0"/>
                    <w:spacing w:line="36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1" w:type="dxa"/>
                  <w:tcBorders>
                    <w:left w:val="nil"/>
                  </w:tcBorders>
                  <w:vAlign w:val="center"/>
                </w:tcPr>
                <w:p>
                  <w:pPr>
                    <w:pStyle w:val="11"/>
                    <w:widowControl w:val="0"/>
                    <w:spacing w:line="36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《关于全面加强生态环境保护坚决打好污染防治攻坚战的实施意见》（苏发【2018】24号）</w:t>
                  </w:r>
                </w:p>
              </w:tc>
              <w:tc>
                <w:tcPr>
                  <w:tcW w:w="4140" w:type="dxa"/>
                  <w:vAlign w:val="center"/>
                </w:tcPr>
                <w:p>
                  <w:pPr>
                    <w:pStyle w:val="11"/>
                    <w:widowControl w:val="0"/>
                    <w:spacing w:line="36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 xml:space="preserve">严禁在长江干流及主要支流岸线 </w:t>
                  </w:r>
                  <w:r>
                    <w:rPr>
                      <w:rFonts w:ascii="Times New Roman" w:hAnsi="Times New Roman" w:eastAsia="宋体"/>
                      <w:sz w:val="21"/>
                      <w:szCs w:val="21"/>
                    </w:rPr>
                    <w:t xml:space="preserve">1 </w:t>
                  </w:r>
                  <w:r>
                    <w:rPr>
                      <w:rFonts w:hint="eastAsia" w:ascii="Times New Roman" w:hAnsi="Times New Roman" w:eastAsia="宋体"/>
                      <w:sz w:val="21"/>
                      <w:szCs w:val="21"/>
                    </w:rPr>
                    <w:t xml:space="preserve">公里范围内新建布局化工园区和化工企业。严格化工项目环评审批，提高准入门槛，新建化工项目原则上投资额不得低于 </w:t>
                  </w:r>
                  <w:r>
                    <w:rPr>
                      <w:rFonts w:ascii="Times New Roman" w:hAnsi="Times New Roman" w:eastAsia="宋体"/>
                      <w:sz w:val="21"/>
                      <w:szCs w:val="21"/>
                    </w:rPr>
                    <w:t xml:space="preserve">10 </w:t>
                  </w:r>
                  <w:r>
                    <w:rPr>
                      <w:rFonts w:hint="eastAsia" w:ascii="Times New Roman" w:hAnsi="Times New Roman" w:eastAsia="宋体"/>
                      <w:sz w:val="21"/>
                      <w:szCs w:val="21"/>
                    </w:rPr>
                    <w:t>亿元，不得新建、改建、扩建三类中间体项目。</w:t>
                  </w:r>
                </w:p>
              </w:tc>
              <w:tc>
                <w:tcPr>
                  <w:tcW w:w="2100" w:type="dxa"/>
                  <w:vAlign w:val="center"/>
                </w:tcPr>
                <w:p>
                  <w:pPr>
                    <w:pStyle w:val="11"/>
                    <w:widowControl w:val="0"/>
                    <w:spacing w:line="360" w:lineRule="auto"/>
                    <w:ind w:firstLine="0" w:firstLineChars="0"/>
                    <w:jc w:val="center"/>
                    <w:rPr>
                      <w:rFonts w:ascii="Times New Roman" w:hAnsi="Times New Roman"/>
                      <w:sz w:val="21"/>
                      <w:szCs w:val="21"/>
                    </w:rPr>
                  </w:pPr>
                  <w:r>
                    <w:rPr>
                      <w:rFonts w:hint="eastAsia" w:ascii="Times New Roman" w:hAnsi="Times New Roman" w:eastAsia="宋体"/>
                      <w:sz w:val="21"/>
                      <w:szCs w:val="21"/>
                    </w:rPr>
                    <w:t>本项目不在长江干流及其支流岸线1公里范围内，且不属于化工项目</w:t>
                  </w:r>
                  <w:r>
                    <w:rPr>
                      <w:rFonts w:hint="eastAsia"/>
                    </w:rPr>
                    <w:t>。</w:t>
                  </w:r>
                </w:p>
              </w:tc>
              <w:tc>
                <w:tcPr>
                  <w:tcW w:w="895" w:type="dxa"/>
                  <w:tcBorders>
                    <w:right w:val="nil"/>
                  </w:tcBorders>
                  <w:vAlign w:val="center"/>
                </w:tcPr>
                <w:p>
                  <w:pPr>
                    <w:spacing w:line="360" w:lineRule="auto"/>
                    <w:jc w:val="center"/>
                    <w:rPr>
                      <w:szCs w:val="21"/>
                    </w:rPr>
                  </w:pPr>
                  <w:r>
                    <w:rPr>
                      <w:rFonts w:hint="eastAsia"/>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1" w:type="dxa"/>
                  <w:tcBorders>
                    <w:left w:val="nil"/>
                  </w:tcBorders>
                  <w:vAlign w:val="center"/>
                </w:tcPr>
                <w:p>
                  <w:pPr>
                    <w:pStyle w:val="11"/>
                    <w:widowControl w:val="0"/>
                    <w:spacing w:line="36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《江苏省打赢蓝天保卫战三年行动计划实施方案》（苏政发【2018】122号）</w:t>
                  </w:r>
                </w:p>
              </w:tc>
              <w:tc>
                <w:tcPr>
                  <w:tcW w:w="4140" w:type="dxa"/>
                  <w:vAlign w:val="center"/>
                </w:tcPr>
                <w:p>
                  <w:pPr>
                    <w:pStyle w:val="11"/>
                    <w:widowControl w:val="0"/>
                    <w:spacing w:line="36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禁止建设生产和使用高VOCs含量的溶剂型涂料、油墨、胶黏剂等项目。</w:t>
                  </w:r>
                </w:p>
              </w:tc>
              <w:tc>
                <w:tcPr>
                  <w:tcW w:w="2100" w:type="dxa"/>
                  <w:vAlign w:val="center"/>
                </w:tcPr>
                <w:p>
                  <w:pPr>
                    <w:pStyle w:val="11"/>
                    <w:widowControl w:val="0"/>
                    <w:spacing w:line="36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本项目生产过程中不使用溶剂型涂料、油墨、胶黏剂。</w:t>
                  </w:r>
                </w:p>
              </w:tc>
              <w:tc>
                <w:tcPr>
                  <w:tcW w:w="895" w:type="dxa"/>
                  <w:tcBorders>
                    <w:right w:val="nil"/>
                  </w:tcBorders>
                  <w:vAlign w:val="center"/>
                </w:tcPr>
                <w:p>
                  <w:pPr>
                    <w:spacing w:line="360" w:lineRule="auto"/>
                    <w:jc w:val="center"/>
                    <w:rPr>
                      <w:szCs w:val="21"/>
                    </w:rPr>
                  </w:pPr>
                  <w:r>
                    <w:rPr>
                      <w:rFonts w:hint="eastAsia"/>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1" w:type="dxa"/>
                  <w:tcBorders>
                    <w:left w:val="nil"/>
                  </w:tcBorders>
                  <w:vAlign w:val="center"/>
                </w:tcPr>
                <w:p>
                  <w:pPr>
                    <w:pStyle w:val="11"/>
                    <w:widowControl w:val="0"/>
                    <w:spacing w:line="36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《省政府关于印发江苏省国家级生态保护红线规划的通知》（苏政发【2018】74号）</w:t>
                  </w:r>
                </w:p>
              </w:tc>
              <w:tc>
                <w:tcPr>
                  <w:tcW w:w="4140" w:type="dxa"/>
                  <w:vAlign w:val="center"/>
                </w:tcPr>
                <w:p>
                  <w:pPr>
                    <w:pStyle w:val="11"/>
                    <w:widowControl w:val="0"/>
                    <w:spacing w:line="36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生态保护红线原则上按禁止开发区域的要求进行管理，严禁不符合主体功能定位的各类开发活动，严禁任意改变用途。</w:t>
                  </w:r>
                </w:p>
              </w:tc>
              <w:tc>
                <w:tcPr>
                  <w:tcW w:w="2100" w:type="dxa"/>
                  <w:vAlign w:val="center"/>
                </w:tcPr>
                <w:p>
                  <w:pPr>
                    <w:pStyle w:val="11"/>
                    <w:widowControl w:val="0"/>
                    <w:spacing w:line="36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本项目不在生态保护红线范围内，详见附图5。</w:t>
                  </w:r>
                </w:p>
              </w:tc>
              <w:tc>
                <w:tcPr>
                  <w:tcW w:w="895" w:type="dxa"/>
                  <w:tcBorders>
                    <w:right w:val="nil"/>
                  </w:tcBorders>
                  <w:vAlign w:val="center"/>
                </w:tcPr>
                <w:p>
                  <w:pPr>
                    <w:spacing w:line="360" w:lineRule="auto"/>
                    <w:jc w:val="center"/>
                    <w:rPr>
                      <w:szCs w:val="21"/>
                    </w:rPr>
                  </w:pPr>
                  <w:r>
                    <w:rPr>
                      <w:rFonts w:hint="eastAsia"/>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1" w:type="dxa"/>
                  <w:tcBorders>
                    <w:left w:val="nil"/>
                  </w:tcBorders>
                  <w:vAlign w:val="center"/>
                </w:tcPr>
                <w:p>
                  <w:pPr>
                    <w:pStyle w:val="11"/>
                    <w:widowControl w:val="0"/>
                    <w:spacing w:line="36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《省政府办公厅关于危险废物污染防治工作的意见》（苏政办发【2018】91号）</w:t>
                  </w:r>
                </w:p>
              </w:tc>
              <w:tc>
                <w:tcPr>
                  <w:tcW w:w="4140" w:type="dxa"/>
                  <w:vAlign w:val="center"/>
                </w:tcPr>
                <w:p>
                  <w:pPr>
                    <w:pStyle w:val="11"/>
                    <w:widowControl w:val="0"/>
                    <w:spacing w:line="36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禁止审批无法落实危险废物利用、处置途径的项目，从严审批危险废物产生量大、本地无配套利用处置能力、且需设区市统筹解决的项目。</w:t>
                  </w:r>
                </w:p>
              </w:tc>
              <w:tc>
                <w:tcPr>
                  <w:tcW w:w="2100" w:type="dxa"/>
                  <w:vAlign w:val="center"/>
                </w:tcPr>
                <w:p>
                  <w:pPr>
                    <w:pStyle w:val="11"/>
                    <w:widowControl w:val="0"/>
                    <w:spacing w:line="36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本项目危险废物合理合法利用、处置。固废处置率100%</w:t>
                  </w:r>
                </w:p>
              </w:tc>
              <w:tc>
                <w:tcPr>
                  <w:tcW w:w="895" w:type="dxa"/>
                  <w:tcBorders>
                    <w:right w:val="nil"/>
                  </w:tcBorders>
                  <w:vAlign w:val="center"/>
                </w:tcPr>
                <w:p>
                  <w:pPr>
                    <w:spacing w:line="360" w:lineRule="auto"/>
                    <w:jc w:val="center"/>
                    <w:rPr>
                      <w:szCs w:val="21"/>
                    </w:rPr>
                  </w:pPr>
                  <w:r>
                    <w:rPr>
                      <w:rFonts w:hint="eastAsia"/>
                      <w:szCs w:val="21"/>
                    </w:rPr>
                    <w:t>相符</w:t>
                  </w:r>
                </w:p>
              </w:tc>
            </w:tr>
          </w:tbl>
          <w:p>
            <w:pPr>
              <w:widowControl/>
              <w:spacing w:line="360" w:lineRule="auto"/>
              <w:ind w:firstLine="480" w:firstLineChars="200"/>
              <w:jc w:val="left"/>
              <w:rPr>
                <w:b/>
                <w:bCs/>
                <w:sz w:val="24"/>
              </w:rPr>
            </w:pPr>
            <w:r>
              <w:rPr>
                <w:rFonts w:hint="eastAsia"/>
                <w:b/>
                <w:bCs/>
                <w:sz w:val="24"/>
              </w:rPr>
              <w:t>6、与“关于发布长江经济带发展负面清单指南的通知”相符性分析</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 xml:space="preserve">①禁止建设不符合全国和省级港口布局规划以及港口总体规划的码头项目，禁止建设不符合《长江干线过江通道布局规划》的过长江通道项目。 </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 xml:space="preserve">②禁止在自然保护区核心区、缓冲区的岸线和河段范围内投资建设旅游和生产经营项目。禁止在风景名胜区核心景区的岸线和河段范围内投资建设与风景名胜资源保护无关的项目。 </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 xml:space="preserve">③禁止在饮用水水源一级保护区的岸线和河段范围内新建、改建、扩建与供水设施和保护水源无关的项目，以及网箱养殖、畜牧养殖、旅游等可能污染饮用水水体的投资建设项目。禁止在饮用水水源二级保护区的岸线和河段范围内新建、改建、扩建排放污染物的投资建设项目。 </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 xml:space="preserve">④禁止在水产种质资源保护区的岸线和河段范围内新建围湖造田、围海造地或围填海等投资建设项目。禁止在国家湿地公园的岸线和河段范围内挖沙、采矿，以及任何不符合主体功能定位的投资建设项目。 </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 xml:space="preserve">⑤禁止违法利用、占用长江流域河湖岸线，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航道稳定以及保护生态环境以外的项目。禁止在《全国重要江河湖泊水功能区划》划定的河段及湖泊保护区、保留区内投资建设不利于水资源及自然生态保护的项目。 </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 xml:space="preserve">⑥禁止未经许可在长江干支流及湖泊新设、改设或扩大排污口。 </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 xml:space="preserve">⑦禁止在“一江一口两湖七河”和 </w:t>
            </w:r>
            <w:r>
              <w:rPr>
                <w:rFonts w:ascii="Times New Roman" w:hAnsi="Times New Roman" w:eastAsia="宋体"/>
              </w:rPr>
              <w:t xml:space="preserve">332 </w:t>
            </w:r>
            <w:r>
              <w:rPr>
                <w:rFonts w:hint="eastAsia" w:ascii="Times New Roman" w:hAnsi="Times New Roman" w:eastAsia="宋体"/>
              </w:rPr>
              <w:t>个水生生物保护区开展生产性捕捞。</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 xml:space="preserve">⑧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 </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 xml:space="preserve">⑨禁止在合规园区外新建、扩建钢铁、石化、化工、焦化、建材、有色、制浆造纸等高污染项目。 </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 xml:space="preserve">⑩禁止新建、扩建不符合国家石化、现代煤化工等产业布局规划的项目。 </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 xml:space="preserve">⑪禁止新建、扩建法律法规和相关政策明令禁止的落后产能项目。禁止新建、扩建不符合国家产能置换要求的严重过剩产能行业的项目。禁止新建、扩建不符合要求的高耗能高排放项目。 </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 xml:space="preserve">⑫法律法规及相关政策文件有更加严格规定的从其规定。 </w:t>
            </w:r>
          </w:p>
          <w:p>
            <w:pPr>
              <w:pStyle w:val="11"/>
              <w:widowControl w:val="0"/>
              <w:spacing w:line="360" w:lineRule="auto"/>
              <w:ind w:firstLine="480"/>
              <w:rPr>
                <w:rFonts w:ascii="Times New Roman" w:hAnsi="Times New Roman" w:eastAsia="宋体"/>
              </w:rPr>
            </w:pPr>
            <w:r>
              <w:rPr>
                <w:rFonts w:ascii="Times New Roman" w:hAnsi="Times New Roman" w:eastAsia="宋体"/>
              </w:rPr>
              <w:t>——</w:t>
            </w:r>
            <w:r>
              <w:rPr>
                <w:rFonts w:hint="eastAsia" w:ascii="Times New Roman" w:hAnsi="Times New Roman" w:eastAsia="宋体"/>
              </w:rPr>
              <w:t>《关于发布长江经济带发展负面清单指南</w:t>
            </w:r>
            <w:r>
              <w:rPr>
                <w:rFonts w:ascii="Times New Roman" w:hAnsi="Times New Roman" w:eastAsia="宋体"/>
              </w:rPr>
              <w:t>(</w:t>
            </w:r>
            <w:r>
              <w:rPr>
                <w:rFonts w:hint="eastAsia" w:ascii="Times New Roman" w:hAnsi="Times New Roman" w:eastAsia="宋体"/>
              </w:rPr>
              <w:t>试行</w:t>
            </w:r>
            <w:r>
              <w:rPr>
                <w:rFonts w:ascii="Times New Roman" w:hAnsi="Times New Roman" w:eastAsia="宋体"/>
              </w:rPr>
              <w:t>)</w:t>
            </w:r>
            <w:r>
              <w:rPr>
                <w:rFonts w:hint="eastAsia" w:ascii="Times New Roman" w:hAnsi="Times New Roman" w:eastAsia="宋体"/>
              </w:rPr>
              <w:t>的通知》</w:t>
            </w:r>
            <w:r>
              <w:rPr>
                <w:rFonts w:ascii="Times New Roman" w:hAnsi="Times New Roman" w:eastAsia="宋体"/>
              </w:rPr>
              <w:t xml:space="preserve">(2022 </w:t>
            </w:r>
            <w:r>
              <w:rPr>
                <w:rFonts w:hint="eastAsia" w:ascii="Times New Roman" w:hAnsi="Times New Roman" w:eastAsia="宋体"/>
              </w:rPr>
              <w:t>版</w:t>
            </w:r>
            <w:r>
              <w:rPr>
                <w:rFonts w:ascii="Times New Roman" w:hAnsi="Times New Roman" w:eastAsia="宋体"/>
              </w:rPr>
              <w:t xml:space="preserve">) </w:t>
            </w:r>
          </w:p>
          <w:p>
            <w:pPr>
              <w:pStyle w:val="11"/>
              <w:widowControl w:val="0"/>
              <w:spacing w:line="360" w:lineRule="auto"/>
              <w:ind w:firstLine="480"/>
              <w:rPr>
                <w:rFonts w:ascii="Times New Roman" w:hAnsi="Times New Roman" w:eastAsia="宋体"/>
              </w:rPr>
            </w:pPr>
            <w:r>
              <w:rPr>
                <w:rFonts w:hint="eastAsia" w:ascii="Times New Roman" w:hAnsi="Times New Roman" w:eastAsia="宋体"/>
              </w:rPr>
              <w:t>本项目属于塑料零件及其他塑料制品制造，不属于上述法律法规和相关政策明令禁止的落后产能项目。本项目位于金坛经济开发区汇福路5号，不在上述禁止范围内。综上，本项目与</w:t>
            </w:r>
            <w:r>
              <w:rPr>
                <w:rFonts w:ascii="Times New Roman" w:hAnsi="Times New Roman" w:eastAsia="宋体"/>
              </w:rPr>
              <w:t>“</w:t>
            </w:r>
            <w:r>
              <w:rPr>
                <w:rFonts w:hint="eastAsia" w:ascii="Times New Roman" w:hAnsi="Times New Roman" w:eastAsia="宋体"/>
              </w:rPr>
              <w:t>关于发布长江经济带发展负面清单指南的通知</w:t>
            </w:r>
            <w:r>
              <w:rPr>
                <w:rFonts w:ascii="Times New Roman" w:hAnsi="Times New Roman" w:eastAsia="宋体"/>
              </w:rPr>
              <w:t>”</w:t>
            </w:r>
            <w:r>
              <w:rPr>
                <w:rFonts w:hint="eastAsia" w:ascii="Times New Roman" w:hAnsi="Times New Roman" w:eastAsia="宋体"/>
              </w:rPr>
              <w:t>相符。</w:t>
            </w:r>
          </w:p>
          <w:p>
            <w:pPr>
              <w:pStyle w:val="11"/>
              <w:widowControl w:val="0"/>
              <w:spacing w:line="360" w:lineRule="auto"/>
              <w:ind w:firstLine="480"/>
            </w:pPr>
          </w:p>
        </w:tc>
      </w:tr>
    </w:tbl>
    <w:p>
      <w:pPr>
        <w:sectPr>
          <w:footerReference r:id="rId4" w:type="default"/>
          <w:pgSz w:w="11910" w:h="16840"/>
          <w:pgMar w:top="1417" w:right="900" w:bottom="1281" w:left="1134" w:header="0" w:footer="1083" w:gutter="0"/>
          <w:pgBorders>
            <w:top w:val="none" w:sz="0" w:space="0"/>
            <w:left w:val="none" w:sz="0" w:space="0"/>
            <w:bottom w:val="none" w:sz="0" w:space="0"/>
            <w:right w:val="none" w:sz="0" w:space="0"/>
          </w:pgBorders>
          <w:pgNumType w:start="1"/>
          <w:cols w:space="0" w:num="1"/>
          <w:docGrid w:type="linesAndChars" w:linePitch="312" w:charSpace="0"/>
        </w:sectPr>
      </w:pPr>
    </w:p>
    <w:p>
      <w:bookmarkStart w:id="1" w:name="_GoBack"/>
      <w:bookmarkEnd w:id="1"/>
    </w:p>
    <w:sectPr>
      <w:pgSz w:w="11907" w:h="16840"/>
      <w:pgMar w:top="1803" w:right="1440" w:bottom="1803" w:left="1440" w:header="851" w:footer="850" w:gutter="0"/>
      <w:pgBorders w:offsetFrom="page">
        <w:top w:val="none" w:sz="0" w:space="0"/>
        <w:left w:val="none" w:sz="0" w:space="0"/>
        <w:bottom w:val="none" w:sz="0" w:space="0"/>
        <w:right w:val="none" w:sz="0" w:space="0"/>
      </w:pgBorders>
      <w:pgNumType w:fmt="decimal"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8CCB3A"/>
    <w:multiLevelType w:val="singleLevel"/>
    <w:tmpl w:val="9E8CCB3A"/>
    <w:lvl w:ilvl="0" w:tentative="0">
      <w:start w:val="1"/>
      <w:numFmt w:val="chineseCounting"/>
      <w:suff w:val="nothing"/>
      <w:lvlText w:val="（%1）"/>
      <w:lvlJc w:val="left"/>
      <w:rPr>
        <w:rFonts w:hint="eastAsia"/>
      </w:rPr>
    </w:lvl>
  </w:abstractNum>
  <w:abstractNum w:abstractNumId="1">
    <w:nsid w:val="E9208761"/>
    <w:multiLevelType w:val="singleLevel"/>
    <w:tmpl w:val="E9208761"/>
    <w:lvl w:ilvl="0" w:tentative="0">
      <w:start w:val="1"/>
      <w:numFmt w:val="decimal"/>
      <w:suff w:val="nothing"/>
      <w:lvlText w:val="%1、"/>
      <w:lvlJc w:val="left"/>
    </w:lvl>
  </w:abstractNum>
  <w:abstractNum w:abstractNumId="2">
    <w:nsid w:val="F3051D65"/>
    <w:multiLevelType w:val="singleLevel"/>
    <w:tmpl w:val="F3051D65"/>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3">
    <w:nsid w:val="0992AD34"/>
    <w:multiLevelType w:val="singleLevel"/>
    <w:tmpl w:val="0992AD34"/>
    <w:lvl w:ilvl="0" w:tentative="0">
      <w:start w:val="1"/>
      <w:numFmt w:val="decimal"/>
      <w:suff w:val="nothing"/>
      <w:lvlText w:val="%1、"/>
      <w:lvlJc w:val="left"/>
    </w:lvl>
  </w:abstractNum>
  <w:abstractNum w:abstractNumId="4">
    <w:nsid w:val="3441AFF3"/>
    <w:multiLevelType w:val="singleLevel"/>
    <w:tmpl w:val="3441AFF3"/>
    <w:lvl w:ilvl="0" w:tentative="0">
      <w:start w:val="1"/>
      <w:numFmt w:val="decimal"/>
      <w:suff w:val="nothing"/>
      <w:lvlText w:val="%1、"/>
      <w:lvlJc w:val="left"/>
    </w:lvl>
  </w:abstractNum>
  <w:abstractNum w:abstractNumId="5">
    <w:nsid w:val="6F6D3961"/>
    <w:multiLevelType w:val="singleLevel"/>
    <w:tmpl w:val="6F6D3961"/>
    <w:lvl w:ilvl="0" w:tentative="0">
      <w:start w:val="1"/>
      <w:numFmt w:val="decimal"/>
      <w:suff w:val="nothing"/>
      <w:lvlText w:val="%1、"/>
      <w:lvlJc w:val="left"/>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wNjhkODlhOGU0OTExOWZjNmZlM2RkZjY4NDBhNWMifQ=="/>
  </w:docVars>
  <w:rsids>
    <w:rsidRoot w:val="00000000"/>
    <w:rsid w:val="1E2B2B53"/>
    <w:rsid w:val="4D1C7D98"/>
    <w:rsid w:val="566641F8"/>
    <w:rsid w:val="74145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0"/>
    <w:pPr>
      <w:keepNext/>
      <w:keepLines/>
      <w:spacing w:before="120" w:beforeLines="0" w:beforeAutospacing="0" w:after="120" w:afterLines="0" w:afterAutospacing="0" w:line="360" w:lineRule="auto"/>
      <w:outlineLvl w:val="1"/>
    </w:pPr>
    <w:rPr>
      <w:rFonts w:ascii="Times New Roman" w:hAnsi="Times New Roman" w:eastAsia="宋体" w:cs="Times New Roman"/>
      <w:b/>
      <w:sz w:val="32"/>
      <w:szCs w:val="21"/>
    </w:rPr>
  </w:style>
  <w:style w:type="paragraph" w:styleId="5">
    <w:name w:val="heading 3"/>
    <w:basedOn w:val="1"/>
    <w:next w:val="1"/>
    <w:qFormat/>
    <w:uiPriority w:val="1"/>
    <w:pPr>
      <w:ind w:left="321"/>
      <w:outlineLvl w:val="2"/>
    </w:pPr>
    <w:rPr>
      <w:b/>
      <w:bCs/>
      <w:sz w:val="2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List Bullet 5"/>
    <w:basedOn w:val="1"/>
    <w:uiPriority w:val="0"/>
    <w:pPr>
      <w:numPr>
        <w:ilvl w:val="0"/>
        <w:numId w:val="1"/>
      </w:numPr>
    </w:pPr>
  </w:style>
  <w:style w:type="paragraph" w:styleId="6">
    <w:name w:val="footer"/>
    <w:basedOn w:val="1"/>
    <w:qFormat/>
    <w:uiPriority w:val="99"/>
    <w:pPr>
      <w:tabs>
        <w:tab w:val="center" w:pos="4153"/>
        <w:tab w:val="right" w:pos="8306"/>
      </w:tabs>
      <w:snapToGrid w:val="0"/>
      <w:jc w:val="left"/>
    </w:pPr>
    <w:rPr>
      <w:kern w:val="0"/>
      <w:sz w:val="18"/>
      <w:szCs w:val="20"/>
    </w:rPr>
  </w:style>
  <w:style w:type="paragraph" w:styleId="7">
    <w:name w:val="Normal (Web)"/>
    <w:basedOn w:val="1"/>
    <w:qFormat/>
    <w:uiPriority w:val="0"/>
    <w:pPr>
      <w:widowControl/>
      <w:spacing w:before="100" w:beforeAutospacing="1" w:after="100" w:afterAutospacing="1"/>
      <w:jc w:val="left"/>
    </w:pPr>
    <w:rPr>
      <w:rFonts w:ascii="宋体" w:hAnsi="宋体"/>
      <w:kern w:val="0"/>
      <w:sz w:val="24"/>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j正文2"/>
    <w:qFormat/>
    <w:uiPriority w:val="0"/>
    <w:pPr>
      <w:spacing w:line="500" w:lineRule="exact"/>
      <w:ind w:firstLine="200" w:firstLineChars="200"/>
      <w:jc w:val="both"/>
    </w:pPr>
    <w:rPr>
      <w:rFonts w:ascii="Calibri" w:hAnsi="Calibri" w:eastAsia="仿宋_GB2312" w:cs="Times New Roman"/>
      <w:kern w:val="2"/>
      <w:sz w:val="24"/>
      <w:szCs w:val="24"/>
      <w:lang w:val="en-US" w:eastAsia="zh-CN" w:bidi="ar-SA"/>
    </w:rPr>
  </w:style>
  <w:style w:type="paragraph" w:customStyle="1" w:styleId="12">
    <w:name w:val="表格文字"/>
    <w:basedOn w:val="1"/>
    <w:qFormat/>
    <w:uiPriority w:val="0"/>
    <w:pPr>
      <w:jc w:val="center"/>
    </w:pPr>
    <w:rPr>
      <w:rFonts w:ascii="仿宋_GB2312" w:hAnsi="Arial Black" w:eastAsia="仿宋_GB2312"/>
      <w:kern w:val="44"/>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12646</Words>
  <Characters>13275</Characters>
  <Lines>0</Lines>
  <Paragraphs>0</Paragraphs>
  <TotalTime>0</TotalTime>
  <ScaleCrop>false</ScaleCrop>
  <LinksUpToDate>false</LinksUpToDate>
  <CharactersWithSpaces>13633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Administrator.WIN-2M32BOFN80J</dc:creator>
  <cp:lastModifiedBy>Zzz</cp:lastModifiedBy>
  <dcterms:modified xsi:type="dcterms:W3CDTF">2022-10-19T07:23:18Z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A8B08013205C4A0EB3B8F716A40FBD8F</vt:lpwstr>
  </property>
</Properties>
</file>